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1BE64" w14:textId="77777777" w:rsidR="00C275AE" w:rsidRPr="00C275AE" w:rsidRDefault="00C275AE" w:rsidP="00C275AE">
      <w:pPr>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C275AE">
        <w:rPr>
          <w:rFonts w:ascii="Montserrat" w:eastAsia="Times New Roman" w:hAnsi="Montserrat" w:cs="Times New Roman"/>
          <w:b/>
          <w:bCs/>
          <w:color w:val="006C91"/>
          <w:kern w:val="36"/>
          <w:sz w:val="51"/>
          <w:szCs w:val="51"/>
          <w:bdr w:val="none" w:sz="0" w:space="0" w:color="auto" w:frame="1"/>
          <w:lang w:eastAsia="en-AU"/>
          <w14:ligatures w14:val="none"/>
        </w:rPr>
        <w:t>Patient Onboarding Policy and Procedure</w:t>
      </w:r>
    </w:p>
    <w:p w14:paraId="6F51BD4B" w14:textId="77777777" w:rsidR="00C275AE" w:rsidRPr="00C275AE" w:rsidRDefault="00C275AE" w:rsidP="00C275AE">
      <w:pPr>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C275AE">
        <w:rPr>
          <w:rFonts w:ascii="Montserrat" w:eastAsia="Times New Roman" w:hAnsi="Montserrat" w:cs="Times New Roman"/>
          <w:b/>
          <w:bCs/>
          <w:color w:val="006C91"/>
          <w:kern w:val="36"/>
          <w:sz w:val="51"/>
          <w:szCs w:val="51"/>
          <w:bdr w:val="none" w:sz="0" w:space="0" w:color="auto" w:frame="1"/>
          <w:lang w:eastAsia="en-AU"/>
          <w14:ligatures w14:val="none"/>
        </w:rPr>
        <w:t>(SC8)</w:t>
      </w:r>
    </w:p>
    <w:p w14:paraId="70493C62"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DD7E494" w14:textId="3D6895D7"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4E68CA39"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Health United’s Patient Onboarding Policy and Procedure ensures that new patients are efficiently and effectively integrated into the healthcare system, receive the necessary information, and understand their rights and responsibilities to make informed decisions.</w:t>
      </w:r>
    </w:p>
    <w:p w14:paraId="2522B8FC"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We strive to establish an onboarding process that meets regulatory requirements, enhances the overall patient experience and improves health outcomes.</w:t>
      </w:r>
    </w:p>
    <w:p w14:paraId="0D20551C"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1F71F1" w14:textId="449E6F4A"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Scope</w:t>
      </w:r>
    </w:p>
    <w:p w14:paraId="1162EE97"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0A0044C4"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B67C7A3" w14:textId="2C6DC3E0"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77627534"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At Health United, our patient’s safety, dignity and wellbeing are paramount to our core values and objectives.</w:t>
      </w:r>
    </w:p>
    <w:p w14:paraId="1737468D"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Our mission is ‘to deliver comprehensive allied health services with compassion, innovation and excellence. Through collaborative efforts, we strive to optimise patient outcomes, promote wellness and foster a culture of inclusivity and respect within our communities.’</w:t>
      </w:r>
    </w:p>
    <w:p w14:paraId="3E9A5009"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Therefore, it is important that our onboarding process is tailored to our healthcare facility’s specific needs and practices. Health United staff consider factors such as the types of services offered, patient demographics and regulatory requirements when completing the process.</w:t>
      </w:r>
    </w:p>
    <w:p w14:paraId="40FD47AE"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Regular review and updates to the policy and procedure are also necessary to reflect changes in best practices, technology or regulations.</w:t>
      </w:r>
    </w:p>
    <w:p w14:paraId="004E3558"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FB3B2F4" w14:textId="475AC541"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3BE52530" w14:textId="77777777" w:rsidR="00C275AE" w:rsidRPr="00C275AE" w:rsidRDefault="00C275AE" w:rsidP="00C275A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National Registration and Accreditation Scheme (NRAS)</w:t>
      </w:r>
    </w:p>
    <w:p w14:paraId="60D08784" w14:textId="77777777" w:rsidR="00C275AE" w:rsidRPr="00C275AE" w:rsidRDefault="00C275AE" w:rsidP="00C275A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Health Practitioner Regulation National Law (NSW)</w:t>
      </w:r>
    </w:p>
    <w:p w14:paraId="3AEBAE11" w14:textId="77777777" w:rsidR="00C275AE" w:rsidRPr="00C275AE" w:rsidRDefault="00C275AE" w:rsidP="00C275A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Private Health Facilities Act 2007</w:t>
      </w:r>
    </w:p>
    <w:p w14:paraId="7E819737" w14:textId="77777777" w:rsidR="00C275AE" w:rsidRPr="00C275AE" w:rsidRDefault="00C275AE" w:rsidP="00C275A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Health Services Regulation 2013</w:t>
      </w:r>
    </w:p>
    <w:p w14:paraId="4C931F67" w14:textId="77777777"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43288729"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All decisions about our Patient Onboarding Procedure are made in accordance with the principles of our Patient Onboarding Policy.</w:t>
      </w:r>
    </w:p>
    <w:p w14:paraId="04D61A72"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Our Patient Onboarding Policy and Procedure is guided by several key principles to ensure a smooth and effective integration of new patients into the healthcare system.</w:t>
      </w:r>
    </w:p>
    <w:p w14:paraId="24C14622"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These principles include:</w:t>
      </w:r>
    </w:p>
    <w:p w14:paraId="25AC3B1A"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Patient-Centred Care</w:t>
      </w:r>
      <w:r w:rsidRPr="00C275AE">
        <w:rPr>
          <w:rFonts w:ascii="Montserrat" w:eastAsia="Times New Roman" w:hAnsi="Montserrat" w:cs="Times New Roman"/>
          <w:color w:val="5F646A"/>
          <w:kern w:val="0"/>
          <w:sz w:val="23"/>
          <w:szCs w:val="23"/>
          <w:lang w:eastAsia="en-AU"/>
          <w14:ligatures w14:val="none"/>
        </w:rPr>
        <w:t>: The policy prioritises the needs, preferences and values of patients, ensuring that their experience is personalised and respectful of their individual circumstances.</w:t>
      </w:r>
    </w:p>
    <w:p w14:paraId="5B64297D"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Accessibility</w:t>
      </w:r>
      <w:r w:rsidRPr="00C275AE">
        <w:rPr>
          <w:rFonts w:ascii="Montserrat" w:eastAsia="Times New Roman" w:hAnsi="Montserrat" w:cs="Times New Roman"/>
          <w:color w:val="5F646A"/>
          <w:kern w:val="0"/>
          <w:sz w:val="23"/>
          <w:szCs w:val="23"/>
          <w:lang w:eastAsia="en-AU"/>
          <w14:ligatures w14:val="none"/>
        </w:rPr>
        <w:t>: It ensures that the onboarding process is accessible to all patients, regardless of their background, language proficiency or physical abilities, by providing information in multiple formats and accommodating special needs as necessary.</w:t>
      </w:r>
    </w:p>
    <w:p w14:paraId="2C988078"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Transparency</w:t>
      </w:r>
      <w:r w:rsidRPr="00C275AE">
        <w:rPr>
          <w:rFonts w:ascii="Montserrat" w:eastAsia="Times New Roman" w:hAnsi="Montserrat" w:cs="Times New Roman"/>
          <w:color w:val="5F646A"/>
          <w:kern w:val="0"/>
          <w:sz w:val="23"/>
          <w:szCs w:val="23"/>
          <w:lang w:eastAsia="en-AU"/>
          <w14:ligatures w14:val="none"/>
        </w:rPr>
        <w:t>: The policy promotes transparency by providing clear and comprehensive information to patients about the registration process, financial responsibilities, healthcare services, and their rights and responsibilities as patients.</w:t>
      </w:r>
    </w:p>
    <w:p w14:paraId="7185502F"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Privacy and Confidentiality</w:t>
      </w:r>
      <w:r w:rsidRPr="00C275AE">
        <w:rPr>
          <w:rFonts w:ascii="Montserrat" w:eastAsia="Times New Roman" w:hAnsi="Montserrat" w:cs="Times New Roman"/>
          <w:color w:val="5F646A"/>
          <w:kern w:val="0"/>
          <w:sz w:val="23"/>
          <w:szCs w:val="23"/>
          <w:lang w:eastAsia="en-AU"/>
          <w14:ligatures w14:val="none"/>
        </w:rPr>
        <w:t>: It upholds the principles of patient privacy and confidentiality by adhering to relevant laws and regulations and implementing secure procedures for handling patient information.</w:t>
      </w:r>
    </w:p>
    <w:p w14:paraId="22621E0D"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Empowerment</w:t>
      </w:r>
      <w:r w:rsidRPr="00C275AE">
        <w:rPr>
          <w:rFonts w:ascii="Montserrat" w:eastAsia="Times New Roman" w:hAnsi="Montserrat" w:cs="Times New Roman"/>
          <w:color w:val="5F646A"/>
          <w:kern w:val="0"/>
          <w:sz w:val="23"/>
          <w:szCs w:val="23"/>
          <w:lang w:eastAsia="en-AU"/>
          <w14:ligatures w14:val="none"/>
        </w:rPr>
        <w:t>: The policy aims to empower patients by educating them about their medical conditions, treatment options and how to navigate the healthcare system effectively, enabling them to make informed decisions about their health and care.</w:t>
      </w:r>
    </w:p>
    <w:p w14:paraId="29279FAE"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Continuity of Care</w:t>
      </w:r>
      <w:r w:rsidRPr="00C275AE">
        <w:rPr>
          <w:rFonts w:ascii="Montserrat" w:eastAsia="Times New Roman" w:hAnsi="Montserrat" w:cs="Times New Roman"/>
          <w:color w:val="5F646A"/>
          <w:kern w:val="0"/>
          <w:sz w:val="23"/>
          <w:szCs w:val="23"/>
          <w:lang w:eastAsia="en-AU"/>
          <w14:ligatures w14:val="none"/>
        </w:rPr>
        <w:t>: It supports continuity of care by facilitating communication and coordination between different healthcare providers and departments, ensuring that new patients receive timely and appropriate follow-up care after their initial onboarding.</w:t>
      </w:r>
    </w:p>
    <w:p w14:paraId="7025B092"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Quality Improvement</w:t>
      </w:r>
      <w:r w:rsidRPr="00C275AE">
        <w:rPr>
          <w:rFonts w:ascii="Montserrat" w:eastAsia="Times New Roman" w:hAnsi="Montserrat" w:cs="Times New Roman"/>
          <w:color w:val="5F646A"/>
          <w:kern w:val="0"/>
          <w:sz w:val="23"/>
          <w:szCs w:val="23"/>
          <w:lang w:eastAsia="en-AU"/>
          <w14:ligatures w14:val="none"/>
        </w:rPr>
        <w:t>: The policy emphasises the importance of continuous quality improvement by regularly reviewing and updating the onboarding process based on feedback from patients and staff and changes in best practices or regulations.</w:t>
      </w:r>
    </w:p>
    <w:p w14:paraId="70F3D37D" w14:textId="77777777" w:rsidR="00C275AE" w:rsidRPr="00C275AE" w:rsidRDefault="00C275AE" w:rsidP="00C275A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b/>
          <w:bCs/>
          <w:color w:val="5F646A"/>
          <w:kern w:val="0"/>
          <w:sz w:val="23"/>
          <w:szCs w:val="23"/>
          <w:bdr w:val="none" w:sz="0" w:space="0" w:color="auto" w:frame="1"/>
          <w:lang w:eastAsia="en-AU"/>
          <w14:ligatures w14:val="none"/>
        </w:rPr>
        <w:t>Ethical Practice</w:t>
      </w:r>
      <w:r w:rsidRPr="00C275AE">
        <w:rPr>
          <w:rFonts w:ascii="Montserrat" w:eastAsia="Times New Roman" w:hAnsi="Montserrat" w:cs="Times New Roman"/>
          <w:color w:val="5F646A"/>
          <w:kern w:val="0"/>
          <w:sz w:val="23"/>
          <w:szCs w:val="23"/>
          <w:lang w:eastAsia="en-AU"/>
          <w14:ligatures w14:val="none"/>
        </w:rPr>
        <w:t>: It promotes ethical practice by maintaining high standards of professionalism, integrity, and accountability in all interactions with patients and by respecting their autonomy, dignity and rights.</w:t>
      </w:r>
    </w:p>
    <w:p w14:paraId="55054564" w14:textId="77777777" w:rsidR="00C275AE" w:rsidRPr="00C275AE" w:rsidRDefault="00C275AE" w:rsidP="00C275AE">
      <w:pPr>
        <w:spacing w:after="10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lastRenderedPageBreak/>
        <w:t>Key Terms</w:t>
      </w:r>
    </w:p>
    <w:tbl>
      <w:tblPr>
        <w:tblW w:w="9412" w:type="dxa"/>
        <w:tblBorders>
          <w:top w:val="single" w:sz="6" w:space="0" w:color="000000"/>
          <w:left w:val="single" w:sz="6" w:space="0" w:color="000000"/>
          <w:bottom w:val="single" w:sz="6" w:space="0" w:color="000000"/>
          <w:right w:val="single" w:sz="6" w:space="0" w:color="000000"/>
        </w:tblBorders>
        <w:tblCellMar>
          <w:top w:w="120" w:type="dxa"/>
          <w:left w:w="120" w:type="dxa"/>
          <w:bottom w:w="120" w:type="dxa"/>
          <w:right w:w="120" w:type="dxa"/>
        </w:tblCellMar>
        <w:tblLook w:val="04A0" w:firstRow="1" w:lastRow="0" w:firstColumn="1" w:lastColumn="0" w:noHBand="0" w:noVBand="1"/>
      </w:tblPr>
      <w:tblGrid>
        <w:gridCol w:w="2372"/>
        <w:gridCol w:w="4684"/>
        <w:gridCol w:w="2356"/>
      </w:tblGrid>
      <w:tr w:rsidR="00C275AE" w:rsidRPr="00C275AE" w14:paraId="78CB322A" w14:textId="77777777" w:rsidTr="00C275AE">
        <w:tc>
          <w:tcPr>
            <w:tcW w:w="2400" w:type="dxa"/>
            <w:tcBorders>
              <w:top w:val="outset" w:sz="6" w:space="0" w:color="auto"/>
              <w:left w:val="outset" w:sz="6" w:space="0" w:color="auto"/>
              <w:bottom w:val="outset" w:sz="6" w:space="0" w:color="auto"/>
              <w:right w:val="outset" w:sz="6" w:space="0" w:color="auto"/>
            </w:tcBorders>
            <w:vAlign w:val="center"/>
            <w:hideMark/>
          </w:tcPr>
          <w:p w14:paraId="4643E538"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b/>
                <w:bCs/>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vAlign w:val="center"/>
            <w:hideMark/>
          </w:tcPr>
          <w:p w14:paraId="35BD71A8"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b/>
                <w:bCs/>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vAlign w:val="center"/>
            <w:hideMark/>
          </w:tcPr>
          <w:p w14:paraId="3FBE0B7B"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b/>
                <w:bCs/>
                <w:kern w:val="0"/>
                <w:sz w:val="23"/>
                <w:szCs w:val="23"/>
                <w:bdr w:val="none" w:sz="0" w:space="0" w:color="auto" w:frame="1"/>
                <w:lang w:eastAsia="en-AU"/>
                <w14:ligatures w14:val="none"/>
              </w:rPr>
              <w:t>Source</w:t>
            </w:r>
          </w:p>
        </w:tc>
      </w:tr>
      <w:tr w:rsidR="00C275AE" w:rsidRPr="00C275AE" w14:paraId="590742D2" w14:textId="77777777" w:rsidTr="00C275AE">
        <w:tc>
          <w:tcPr>
            <w:tcW w:w="2400" w:type="dxa"/>
            <w:tcBorders>
              <w:top w:val="outset" w:sz="6" w:space="0" w:color="auto"/>
              <w:left w:val="outset" w:sz="6" w:space="0" w:color="auto"/>
              <w:bottom w:val="outset" w:sz="6" w:space="0" w:color="auto"/>
              <w:right w:val="outset" w:sz="6" w:space="0" w:color="auto"/>
            </w:tcBorders>
            <w:vAlign w:val="center"/>
            <w:hideMark/>
          </w:tcPr>
          <w:p w14:paraId="26507636"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Onboarding</w:t>
            </w:r>
          </w:p>
        </w:tc>
        <w:tc>
          <w:tcPr>
            <w:tcW w:w="4815" w:type="dxa"/>
            <w:tcBorders>
              <w:top w:val="outset" w:sz="6" w:space="0" w:color="auto"/>
              <w:left w:val="outset" w:sz="6" w:space="0" w:color="auto"/>
              <w:bottom w:val="outset" w:sz="6" w:space="0" w:color="auto"/>
              <w:right w:val="outset" w:sz="6" w:space="0" w:color="auto"/>
            </w:tcBorders>
            <w:vAlign w:val="center"/>
            <w:hideMark/>
          </w:tcPr>
          <w:p w14:paraId="77D3C051"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Onboarding is the process by which patients are welcomed and oriented into a provider’s practice.</w:t>
            </w:r>
          </w:p>
        </w:tc>
        <w:tc>
          <w:tcPr>
            <w:tcW w:w="2400" w:type="dxa"/>
            <w:tcBorders>
              <w:top w:val="outset" w:sz="6" w:space="0" w:color="auto"/>
              <w:left w:val="outset" w:sz="6" w:space="0" w:color="auto"/>
              <w:bottom w:val="outset" w:sz="6" w:space="0" w:color="auto"/>
              <w:right w:val="outset" w:sz="6" w:space="0" w:color="auto"/>
            </w:tcBorders>
            <w:vAlign w:val="center"/>
            <w:hideMark/>
          </w:tcPr>
          <w:p w14:paraId="1185E74D"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SCAN Health Plan</w:t>
            </w:r>
          </w:p>
        </w:tc>
      </w:tr>
      <w:tr w:rsidR="00C275AE" w:rsidRPr="00C275AE" w14:paraId="5D7ABB78" w14:textId="77777777" w:rsidTr="00C275AE">
        <w:tc>
          <w:tcPr>
            <w:tcW w:w="2400" w:type="dxa"/>
            <w:tcBorders>
              <w:top w:val="outset" w:sz="6" w:space="0" w:color="auto"/>
              <w:left w:val="outset" w:sz="6" w:space="0" w:color="auto"/>
              <w:bottom w:val="outset" w:sz="6" w:space="0" w:color="auto"/>
              <w:right w:val="outset" w:sz="6" w:space="0" w:color="auto"/>
            </w:tcBorders>
            <w:vAlign w:val="center"/>
            <w:hideMark/>
          </w:tcPr>
          <w:p w14:paraId="069B67EE"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Patient-centred</w:t>
            </w:r>
          </w:p>
        </w:tc>
        <w:tc>
          <w:tcPr>
            <w:tcW w:w="4815" w:type="dxa"/>
            <w:tcBorders>
              <w:top w:val="outset" w:sz="6" w:space="0" w:color="auto"/>
              <w:left w:val="outset" w:sz="6" w:space="0" w:color="auto"/>
              <w:bottom w:val="outset" w:sz="6" w:space="0" w:color="auto"/>
              <w:right w:val="outset" w:sz="6" w:space="0" w:color="auto"/>
            </w:tcBorders>
            <w:vAlign w:val="center"/>
            <w:hideMark/>
          </w:tcPr>
          <w:p w14:paraId="12EECFAF"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Systematic evaluation of an individual’s risk factors for falls to identify those at increased risk.</w:t>
            </w:r>
          </w:p>
        </w:tc>
        <w:tc>
          <w:tcPr>
            <w:tcW w:w="2400" w:type="dxa"/>
            <w:tcBorders>
              <w:top w:val="outset" w:sz="6" w:space="0" w:color="auto"/>
              <w:left w:val="outset" w:sz="6" w:space="0" w:color="auto"/>
              <w:bottom w:val="outset" w:sz="6" w:space="0" w:color="auto"/>
              <w:right w:val="outset" w:sz="6" w:space="0" w:color="auto"/>
            </w:tcBorders>
            <w:vAlign w:val="center"/>
            <w:hideMark/>
          </w:tcPr>
          <w:p w14:paraId="6EA22538"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National Institute of Health</w:t>
            </w:r>
          </w:p>
        </w:tc>
      </w:tr>
      <w:tr w:rsidR="00C275AE" w:rsidRPr="00C275AE" w14:paraId="75AF85C9" w14:textId="77777777" w:rsidTr="00C275AE">
        <w:tc>
          <w:tcPr>
            <w:tcW w:w="2400" w:type="dxa"/>
            <w:tcBorders>
              <w:top w:val="outset" w:sz="6" w:space="0" w:color="auto"/>
              <w:left w:val="outset" w:sz="6" w:space="0" w:color="auto"/>
              <w:bottom w:val="outset" w:sz="6" w:space="0" w:color="auto"/>
              <w:right w:val="outset" w:sz="6" w:space="0" w:color="auto"/>
            </w:tcBorders>
            <w:vAlign w:val="center"/>
            <w:hideMark/>
          </w:tcPr>
          <w:p w14:paraId="4876DA9D"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Empowerment</w:t>
            </w:r>
          </w:p>
        </w:tc>
        <w:tc>
          <w:tcPr>
            <w:tcW w:w="4815" w:type="dxa"/>
            <w:tcBorders>
              <w:top w:val="outset" w:sz="6" w:space="0" w:color="auto"/>
              <w:left w:val="outset" w:sz="6" w:space="0" w:color="auto"/>
              <w:bottom w:val="outset" w:sz="6" w:space="0" w:color="auto"/>
              <w:right w:val="outset" w:sz="6" w:space="0" w:color="auto"/>
            </w:tcBorders>
            <w:vAlign w:val="center"/>
            <w:hideMark/>
          </w:tcPr>
          <w:p w14:paraId="12AD81B8"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Authority or power given to someone to do something.</w:t>
            </w:r>
          </w:p>
        </w:tc>
        <w:tc>
          <w:tcPr>
            <w:tcW w:w="2400" w:type="dxa"/>
            <w:tcBorders>
              <w:top w:val="outset" w:sz="6" w:space="0" w:color="auto"/>
              <w:left w:val="outset" w:sz="6" w:space="0" w:color="auto"/>
              <w:bottom w:val="outset" w:sz="6" w:space="0" w:color="auto"/>
              <w:right w:val="outset" w:sz="6" w:space="0" w:color="auto"/>
            </w:tcBorders>
            <w:vAlign w:val="center"/>
            <w:hideMark/>
          </w:tcPr>
          <w:p w14:paraId="25562AAA"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Oxford Dictionary</w:t>
            </w:r>
          </w:p>
        </w:tc>
      </w:tr>
      <w:tr w:rsidR="00C275AE" w:rsidRPr="00C275AE" w14:paraId="2932E6A4" w14:textId="77777777" w:rsidTr="00C275AE">
        <w:tc>
          <w:tcPr>
            <w:tcW w:w="2400" w:type="dxa"/>
            <w:tcBorders>
              <w:top w:val="outset" w:sz="6" w:space="0" w:color="auto"/>
              <w:left w:val="outset" w:sz="6" w:space="0" w:color="auto"/>
              <w:bottom w:val="outset" w:sz="6" w:space="0" w:color="auto"/>
              <w:right w:val="outset" w:sz="6" w:space="0" w:color="auto"/>
            </w:tcBorders>
            <w:vAlign w:val="center"/>
            <w:hideMark/>
          </w:tcPr>
          <w:p w14:paraId="69AC5B8A"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Ethical practice</w:t>
            </w:r>
          </w:p>
        </w:tc>
        <w:tc>
          <w:tcPr>
            <w:tcW w:w="4815" w:type="dxa"/>
            <w:tcBorders>
              <w:top w:val="outset" w:sz="6" w:space="0" w:color="auto"/>
              <w:left w:val="outset" w:sz="6" w:space="0" w:color="auto"/>
              <w:bottom w:val="outset" w:sz="6" w:space="0" w:color="auto"/>
              <w:right w:val="outset" w:sz="6" w:space="0" w:color="auto"/>
            </w:tcBorders>
            <w:vAlign w:val="center"/>
            <w:hideMark/>
          </w:tcPr>
          <w:p w14:paraId="1440B027"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The standards of professional conduct that any industry professional is expected to uphold.</w:t>
            </w:r>
          </w:p>
        </w:tc>
        <w:tc>
          <w:tcPr>
            <w:tcW w:w="2400" w:type="dxa"/>
            <w:tcBorders>
              <w:top w:val="outset" w:sz="6" w:space="0" w:color="auto"/>
              <w:left w:val="outset" w:sz="6" w:space="0" w:color="auto"/>
              <w:bottom w:val="outset" w:sz="6" w:space="0" w:color="auto"/>
              <w:right w:val="outset" w:sz="6" w:space="0" w:color="auto"/>
            </w:tcBorders>
            <w:vAlign w:val="center"/>
            <w:hideMark/>
          </w:tcPr>
          <w:p w14:paraId="10B274AE"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IGA Global</w:t>
            </w:r>
          </w:p>
        </w:tc>
      </w:tr>
    </w:tbl>
    <w:p w14:paraId="50EB1926"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0C6FA98" w14:textId="53612591"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0C886AF8" w14:textId="77777777" w:rsidR="00C275AE" w:rsidRPr="00C275AE" w:rsidRDefault="00C275AE" w:rsidP="00C275A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Duty of Care Policy and Procedure</w:t>
      </w:r>
    </w:p>
    <w:p w14:paraId="687C6616" w14:textId="77777777" w:rsidR="00C275AE" w:rsidRPr="00C275AE" w:rsidRDefault="00C275AE" w:rsidP="00C275A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Patient Onboarding Checklist</w:t>
      </w:r>
    </w:p>
    <w:p w14:paraId="07654A77" w14:textId="77777777" w:rsidR="00C275AE" w:rsidRPr="00C275AE" w:rsidRDefault="00C275AE" w:rsidP="00C275A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Patient Management Policy and Procedure</w:t>
      </w:r>
    </w:p>
    <w:p w14:paraId="53E65CFE" w14:textId="77777777" w:rsidR="00C275AE" w:rsidRPr="00C275AE" w:rsidRDefault="00C275AE" w:rsidP="00C275A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My Health Record System Policy and Procedure</w:t>
      </w:r>
    </w:p>
    <w:p w14:paraId="71229C09"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78A6B18" w14:textId="66309720"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243B43FF"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Patient Onboarding Policy and Procedure to enable them to fulfil their roles effectively. In addition, the organisation promotes information sharing at staff meetings, sharing information received from industry trends or changes in legislation and consultation at policy review sessions.</w:t>
      </w:r>
    </w:p>
    <w:p w14:paraId="53C47D38" w14:textId="77777777" w:rsidR="00C275AE" w:rsidRDefault="00C275AE" w:rsidP="00C275AE">
      <w:pPr>
        <w:spacing w:after="10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0AC6408" w14:textId="57C8F74F" w:rsidR="00C275AE" w:rsidRPr="00C275AE" w:rsidRDefault="00C275AE" w:rsidP="00C275AE">
      <w:pPr>
        <w:spacing w:after="10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412" w:type="dxa"/>
        <w:tblBorders>
          <w:top w:val="single" w:sz="6" w:space="0" w:color="000000"/>
          <w:left w:val="single" w:sz="6" w:space="0" w:color="000000"/>
          <w:bottom w:val="single" w:sz="6" w:space="0" w:color="000000"/>
          <w:right w:val="single" w:sz="6" w:space="0" w:color="000000"/>
        </w:tblBorders>
        <w:tblCellMar>
          <w:top w:w="120" w:type="dxa"/>
          <w:left w:w="120" w:type="dxa"/>
          <w:bottom w:w="120" w:type="dxa"/>
          <w:right w:w="120" w:type="dxa"/>
        </w:tblCellMar>
        <w:tblLook w:val="04A0" w:firstRow="1" w:lastRow="0" w:firstColumn="1" w:lastColumn="0" w:noHBand="0" w:noVBand="1"/>
      </w:tblPr>
      <w:tblGrid>
        <w:gridCol w:w="2800"/>
        <w:gridCol w:w="4274"/>
        <w:gridCol w:w="2338"/>
      </w:tblGrid>
      <w:tr w:rsidR="00C275AE" w:rsidRPr="00C275AE" w14:paraId="06102C7B" w14:textId="77777777" w:rsidTr="00C275AE">
        <w:tc>
          <w:tcPr>
            <w:tcW w:w="2835" w:type="dxa"/>
            <w:tcBorders>
              <w:top w:val="outset" w:sz="6" w:space="0" w:color="auto"/>
              <w:left w:val="outset" w:sz="6" w:space="0" w:color="auto"/>
              <w:bottom w:val="outset" w:sz="6" w:space="0" w:color="auto"/>
              <w:right w:val="outset" w:sz="6" w:space="0" w:color="auto"/>
            </w:tcBorders>
            <w:vAlign w:val="center"/>
            <w:hideMark/>
          </w:tcPr>
          <w:p w14:paraId="40864AF1"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b/>
                <w:bCs/>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vAlign w:val="center"/>
            <w:hideMark/>
          </w:tcPr>
          <w:p w14:paraId="7AF5D6B0"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b/>
                <w:bCs/>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vAlign w:val="center"/>
            <w:hideMark/>
          </w:tcPr>
          <w:p w14:paraId="443A27A8"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b/>
                <w:bCs/>
                <w:kern w:val="0"/>
                <w:sz w:val="23"/>
                <w:szCs w:val="23"/>
                <w:bdr w:val="none" w:sz="0" w:space="0" w:color="auto" w:frame="1"/>
                <w:lang w:eastAsia="en-AU"/>
                <w14:ligatures w14:val="none"/>
              </w:rPr>
              <w:t>Next Review Date</w:t>
            </w:r>
          </w:p>
        </w:tc>
      </w:tr>
      <w:tr w:rsidR="00C275AE" w:rsidRPr="00C275AE" w14:paraId="4DC12C30" w14:textId="77777777" w:rsidTr="00C275AE">
        <w:tc>
          <w:tcPr>
            <w:tcW w:w="2835" w:type="dxa"/>
            <w:tcBorders>
              <w:top w:val="outset" w:sz="6" w:space="0" w:color="auto"/>
              <w:left w:val="outset" w:sz="6" w:space="0" w:color="auto"/>
              <w:bottom w:val="outset" w:sz="6" w:space="0" w:color="auto"/>
              <w:right w:val="outset" w:sz="6" w:space="0" w:color="auto"/>
            </w:tcBorders>
            <w:vAlign w:val="center"/>
            <w:hideMark/>
          </w:tcPr>
          <w:p w14:paraId="358712FF"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vAlign w:val="center"/>
            <w:hideMark/>
          </w:tcPr>
          <w:p w14:paraId="19F08FD7"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vAlign w:val="center"/>
            <w:hideMark/>
          </w:tcPr>
          <w:p w14:paraId="3CCADE5B" w14:textId="77777777" w:rsidR="00C275AE" w:rsidRPr="00C275AE" w:rsidRDefault="00C275AE" w:rsidP="00C275AE">
            <w:pPr>
              <w:spacing w:after="0" w:line="240" w:lineRule="auto"/>
              <w:rPr>
                <w:rFonts w:ascii="Times New Roman" w:eastAsia="Times New Roman" w:hAnsi="Times New Roman" w:cs="Times New Roman"/>
                <w:kern w:val="0"/>
                <w:lang w:eastAsia="en-AU"/>
                <w14:ligatures w14:val="none"/>
              </w:rPr>
            </w:pPr>
            <w:r w:rsidRPr="00C275AE">
              <w:rPr>
                <w:rFonts w:ascii="Times New Roman" w:eastAsia="Times New Roman" w:hAnsi="Times New Roman" w:cs="Times New Roman"/>
                <w:kern w:val="0"/>
                <w:lang w:eastAsia="en-AU"/>
                <w14:ligatures w14:val="none"/>
              </w:rPr>
              <w:t>March 2025</w:t>
            </w:r>
          </w:p>
        </w:tc>
      </w:tr>
    </w:tbl>
    <w:p w14:paraId="35517C6C"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D7B2B72"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6C91332" w14:textId="121F1527"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6AF20BE6"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3F34CD2D" w14:textId="77777777" w:rsid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2BF733C" w14:textId="093E89B0" w:rsidR="00C275AE" w:rsidRPr="00C275AE" w:rsidRDefault="00C275AE" w:rsidP="00C275AE">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275AE">
        <w:rPr>
          <w:rFonts w:ascii="Montserrat" w:eastAsia="Times New Roman" w:hAnsi="Montserrat" w:cs="Times New Roman"/>
          <w:b/>
          <w:bCs/>
          <w:color w:val="ED1E67"/>
          <w:kern w:val="0"/>
          <w:sz w:val="44"/>
          <w:szCs w:val="44"/>
          <w:bdr w:val="none" w:sz="0" w:space="0" w:color="auto" w:frame="1"/>
          <w:lang w:eastAsia="en-AU"/>
          <w14:ligatures w14:val="none"/>
        </w:rPr>
        <w:t>Patient Onboarding Procedure</w:t>
      </w:r>
    </w:p>
    <w:p w14:paraId="65B4A83A"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The management is responsible for ensuring the implementation of and compliance with the Patient Onboarding Policy and Procedure.</w:t>
      </w:r>
    </w:p>
    <w:p w14:paraId="5EA69455" w14:textId="77777777" w:rsidR="00C275AE" w:rsidRPr="00C275AE" w:rsidRDefault="00C275AE" w:rsidP="00C275AE">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Staff members are responsible for adhering to the policy and organising, conducting and evaluating/ reviewing onboarding processes.</w:t>
      </w:r>
    </w:p>
    <w:p w14:paraId="65ECAE80"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79563DC" w14:textId="67AFFF94"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Appointment Confirmation:</w:t>
      </w:r>
    </w:p>
    <w:p w14:paraId="7924C6BC" w14:textId="77777777" w:rsidR="00C275AE" w:rsidRPr="00C275AE" w:rsidRDefault="00C275AE" w:rsidP="00C275A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Confirm the patient’s appointment date and time.</w:t>
      </w:r>
    </w:p>
    <w:p w14:paraId="12E91602" w14:textId="77777777" w:rsidR="00C275AE" w:rsidRPr="00C275AE" w:rsidRDefault="00C275AE" w:rsidP="00C275A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Ensure that all necessary paperwork is prepared in advance.</w:t>
      </w:r>
    </w:p>
    <w:p w14:paraId="4D8D71E3"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2FDFA02" w14:textId="43EF4741"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Welcome Package:</w:t>
      </w:r>
    </w:p>
    <w:p w14:paraId="346CE9CE" w14:textId="77777777" w:rsidR="00C275AE" w:rsidRPr="00C275AE" w:rsidRDefault="00C275AE" w:rsidP="00C275A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Provide the patient with a welcome package containing essential information about the facility, services offered and contact details.</w:t>
      </w:r>
    </w:p>
    <w:p w14:paraId="51525DD3" w14:textId="77777777" w:rsidR="00C275AE" w:rsidRPr="00C275AE" w:rsidRDefault="00C275AE" w:rsidP="00C275A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Include any forms that need to be filled out, such as medical history or consent forms.</w:t>
      </w:r>
    </w:p>
    <w:p w14:paraId="10BBB36F"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FE64742" w14:textId="4656F32C"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Personal Information Collection:</w:t>
      </w:r>
    </w:p>
    <w:p w14:paraId="2048A67D" w14:textId="77777777" w:rsidR="00C275AE" w:rsidRPr="00C275AE" w:rsidRDefault="00C275AE" w:rsidP="00C275A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Collect basic personal information such as name, date of birth, address, phone number and email address.</w:t>
      </w:r>
    </w:p>
    <w:p w14:paraId="1E27D863" w14:textId="77777777" w:rsidR="00C275AE" w:rsidRPr="00C275AE" w:rsidRDefault="00C275AE" w:rsidP="00C275A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Verify insurance information and collect any relevant insurance cards.</w:t>
      </w:r>
    </w:p>
    <w:p w14:paraId="114BA96B"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9A512AC" w14:textId="0BDF51A4"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Medical History Review:</w:t>
      </w:r>
    </w:p>
    <w:p w14:paraId="4CCA3FFA" w14:textId="77777777" w:rsidR="00C275AE" w:rsidRPr="00C275AE" w:rsidRDefault="00C275AE" w:rsidP="00C275A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Review the patient’s medical history to understand any pre-existing conditions, allergies, medications or past treatments.</w:t>
      </w:r>
    </w:p>
    <w:p w14:paraId="06053E74" w14:textId="77777777" w:rsidR="00C275AE" w:rsidRPr="00C275AE" w:rsidRDefault="00C275AE" w:rsidP="00C275A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Ensure all relevant medical records are obtained from the patient’s previous healthcare providers or the facility’s internal records system.</w:t>
      </w:r>
    </w:p>
    <w:p w14:paraId="3F968564"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2399972" w14:textId="1EAF2120"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Consent Forms:</w:t>
      </w:r>
    </w:p>
    <w:p w14:paraId="46C071D2" w14:textId="77777777" w:rsidR="00C275AE" w:rsidRPr="00C275AE" w:rsidRDefault="00C275AE" w:rsidP="00C275A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Have the patient sign consent forms for treatment, release of medical information and any other necessary procedures.</w:t>
      </w:r>
    </w:p>
    <w:p w14:paraId="5FDB6319" w14:textId="77777777" w:rsidR="00C275AE" w:rsidRPr="00C275AE" w:rsidRDefault="00C275AE" w:rsidP="00C275A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lastRenderedPageBreak/>
        <w:t>Clearly explain the purpose and implications of each form before obtaining the patient’s signature.</w:t>
      </w:r>
    </w:p>
    <w:p w14:paraId="601C79BA"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E759FCD" w14:textId="0C883316"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Billing and Payment Information:</w:t>
      </w:r>
    </w:p>
    <w:p w14:paraId="018086FE" w14:textId="77777777" w:rsidR="00C275AE" w:rsidRPr="00C275AE" w:rsidRDefault="00C275AE" w:rsidP="00C275A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Discuss billing procedures, payment options and any financial responsibilities the patient may have.</w:t>
      </w:r>
    </w:p>
    <w:p w14:paraId="3AC77A24" w14:textId="77777777" w:rsidR="00C275AE" w:rsidRPr="00C275AE" w:rsidRDefault="00C275AE" w:rsidP="00C275A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Collect payment or co-payments as required.</w:t>
      </w:r>
    </w:p>
    <w:p w14:paraId="4C4667AE"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1A595F1" w14:textId="3F76D140"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Appointment Scheduling:</w:t>
      </w:r>
    </w:p>
    <w:p w14:paraId="1875FBD8" w14:textId="77777777" w:rsidR="00C275AE" w:rsidRPr="00C275AE" w:rsidRDefault="00C275AE" w:rsidP="00C275A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Schedule follow-up appointments or treatments as necessary.</w:t>
      </w:r>
    </w:p>
    <w:p w14:paraId="014B5747" w14:textId="77777777" w:rsidR="00C275AE" w:rsidRPr="00C275AE" w:rsidRDefault="00C275AE" w:rsidP="00C275A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Provide the patient with a schedule of upcoming appointments and instructions for any necessary preparations.</w:t>
      </w:r>
    </w:p>
    <w:p w14:paraId="75E959EF"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25FEF0C" w14:textId="44045979"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Facility Orientation:</w:t>
      </w:r>
    </w:p>
    <w:p w14:paraId="7562784C" w14:textId="77777777" w:rsidR="00C275AE" w:rsidRPr="00C275AE" w:rsidRDefault="00C275AE" w:rsidP="00C275A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Provide a brief orientation of the facility, including where to check in for appointments, restroom locations and any amenities available to patients.</w:t>
      </w:r>
    </w:p>
    <w:p w14:paraId="5DADF837" w14:textId="77777777" w:rsidR="00C275AE" w:rsidRPr="00C275AE" w:rsidRDefault="00C275AE" w:rsidP="00C275A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Introduce the patient to key staff members who will be involved in their care.</w:t>
      </w:r>
    </w:p>
    <w:p w14:paraId="7C6E0FB4"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6183284" w14:textId="142C2402"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Patient Education:</w:t>
      </w:r>
    </w:p>
    <w:p w14:paraId="1956D84F" w14:textId="77777777" w:rsidR="00C275AE" w:rsidRPr="00C275AE" w:rsidRDefault="00C275AE" w:rsidP="00C275A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Provide educational materials relevant to the patient’s condition or treatment plan.</w:t>
      </w:r>
    </w:p>
    <w:p w14:paraId="33B506F9" w14:textId="77777777" w:rsidR="00C275AE" w:rsidRPr="00C275AE" w:rsidRDefault="00C275AE" w:rsidP="00C275A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Ensure the patient understands their diagnosis, treatment options and any lifestyle modifications or self-care instructions.</w:t>
      </w:r>
    </w:p>
    <w:p w14:paraId="0B77FC6A"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2D941BE" w14:textId="255D6853"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Follow-up Communication:</w:t>
      </w:r>
    </w:p>
    <w:p w14:paraId="23BBF436" w14:textId="77777777" w:rsidR="00C275AE" w:rsidRPr="00C275AE" w:rsidRDefault="00C275AE" w:rsidP="00C275A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Provide the patient with contact information for any questions or concerns that may arise after their visit.</w:t>
      </w:r>
    </w:p>
    <w:p w14:paraId="7C947B74" w14:textId="77777777" w:rsidR="00C275AE" w:rsidRPr="00C275AE" w:rsidRDefault="00C275AE" w:rsidP="00C275A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Schedule a follow-up call or appointment to check on the patient’s progress and address any issues that may have arisen.</w:t>
      </w:r>
    </w:p>
    <w:p w14:paraId="4FAE12CB"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665E6CB"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2C8FD92"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751080D" w14:textId="6E53E018"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lastRenderedPageBreak/>
        <w:t>Patient Feedback:</w:t>
      </w:r>
    </w:p>
    <w:p w14:paraId="2AAEBEC1" w14:textId="77777777" w:rsidR="00C275AE" w:rsidRPr="00C275AE" w:rsidRDefault="00C275AE" w:rsidP="00C275A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Encourage the patient to provide feedback on their experience at the facility.</w:t>
      </w:r>
    </w:p>
    <w:p w14:paraId="0CD8B866" w14:textId="77777777" w:rsidR="00C275AE" w:rsidRPr="00C275AE" w:rsidRDefault="00C275AE" w:rsidP="00C275A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Provide a mechanism for the patient to submit feedback anonymously if preferred.</w:t>
      </w:r>
    </w:p>
    <w:p w14:paraId="0E8ABF44" w14:textId="77777777" w:rsidR="00C275AE" w:rsidRDefault="00C275AE" w:rsidP="00C275AE">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126E310" w14:textId="13B47F77" w:rsidR="00C275AE" w:rsidRPr="00C275AE" w:rsidRDefault="00C275AE" w:rsidP="00C275AE">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275AE">
        <w:rPr>
          <w:rFonts w:ascii="Montserrat" w:eastAsia="Times New Roman" w:hAnsi="Montserrat" w:cs="Times New Roman"/>
          <w:b/>
          <w:bCs/>
          <w:color w:val="FCB53B"/>
          <w:kern w:val="0"/>
          <w:sz w:val="36"/>
          <w:szCs w:val="36"/>
          <w:bdr w:val="none" w:sz="0" w:space="0" w:color="auto" w:frame="1"/>
          <w:lang w:eastAsia="en-AU"/>
          <w14:ligatures w14:val="none"/>
        </w:rPr>
        <w:t>Closure and Departure:</w:t>
      </w:r>
    </w:p>
    <w:p w14:paraId="7BE1DDFC" w14:textId="77777777" w:rsidR="00C275AE" w:rsidRPr="00C275AE" w:rsidRDefault="00C275AE" w:rsidP="00C275A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Thank the patient for choosing the facility and express appreciation for their trust in the healthcare team.</w:t>
      </w:r>
    </w:p>
    <w:p w14:paraId="230E1272" w14:textId="77777777" w:rsidR="00C275AE" w:rsidRPr="00C275AE" w:rsidRDefault="00C275AE" w:rsidP="00C275AE">
      <w:pPr>
        <w:numPr>
          <w:ilvl w:val="0"/>
          <w:numId w:val="15"/>
        </w:numPr>
        <w:spacing w:after="100" w:line="390" w:lineRule="atLeast"/>
        <w:textAlignment w:val="baseline"/>
        <w:rPr>
          <w:rFonts w:ascii="Montserrat" w:eastAsia="Times New Roman" w:hAnsi="Montserrat" w:cs="Times New Roman"/>
          <w:color w:val="5F646A"/>
          <w:kern w:val="0"/>
          <w:sz w:val="23"/>
          <w:szCs w:val="23"/>
          <w:lang w:eastAsia="en-AU"/>
          <w14:ligatures w14:val="none"/>
        </w:rPr>
      </w:pPr>
      <w:r w:rsidRPr="00C275AE">
        <w:rPr>
          <w:rFonts w:ascii="Montserrat" w:eastAsia="Times New Roman" w:hAnsi="Montserrat" w:cs="Times New Roman"/>
          <w:color w:val="5F646A"/>
          <w:kern w:val="0"/>
          <w:sz w:val="23"/>
          <w:szCs w:val="23"/>
          <w:lang w:eastAsia="en-AU"/>
          <w14:ligatures w14:val="none"/>
        </w:rPr>
        <w:t>Ensure the patient has all necessary documentation, prescriptions and appointment reminders before they leave.</w:t>
      </w:r>
    </w:p>
    <w:p w14:paraId="3BF51712" w14:textId="77777777" w:rsidR="00C275AE" w:rsidRDefault="00C275AE"/>
    <w:sectPr w:rsidR="00C275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744"/>
    <w:multiLevelType w:val="multilevel"/>
    <w:tmpl w:val="A3E2A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43568"/>
    <w:multiLevelType w:val="multilevel"/>
    <w:tmpl w:val="1FA8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5D7970"/>
    <w:multiLevelType w:val="multilevel"/>
    <w:tmpl w:val="06902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F5350"/>
    <w:multiLevelType w:val="multilevel"/>
    <w:tmpl w:val="B3BE2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E60CAF"/>
    <w:multiLevelType w:val="multilevel"/>
    <w:tmpl w:val="A8787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4019E7"/>
    <w:multiLevelType w:val="multilevel"/>
    <w:tmpl w:val="E5D6E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85117"/>
    <w:multiLevelType w:val="multilevel"/>
    <w:tmpl w:val="68842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D60FAE"/>
    <w:multiLevelType w:val="multilevel"/>
    <w:tmpl w:val="871CB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EE2A90"/>
    <w:multiLevelType w:val="multilevel"/>
    <w:tmpl w:val="05B69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6560CF"/>
    <w:multiLevelType w:val="multilevel"/>
    <w:tmpl w:val="49BC2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0F6F3A"/>
    <w:multiLevelType w:val="multilevel"/>
    <w:tmpl w:val="ACB88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0C50AF"/>
    <w:multiLevelType w:val="multilevel"/>
    <w:tmpl w:val="403A4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F26B99"/>
    <w:multiLevelType w:val="multilevel"/>
    <w:tmpl w:val="4F76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8244B56"/>
    <w:multiLevelType w:val="multilevel"/>
    <w:tmpl w:val="D6109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446F8B"/>
    <w:multiLevelType w:val="multilevel"/>
    <w:tmpl w:val="E3C2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9696907">
    <w:abstractNumId w:val="12"/>
  </w:num>
  <w:num w:numId="2" w16cid:durableId="387805834">
    <w:abstractNumId w:val="13"/>
  </w:num>
  <w:num w:numId="3" w16cid:durableId="1758015772">
    <w:abstractNumId w:val="1"/>
  </w:num>
  <w:num w:numId="4" w16cid:durableId="1577403028">
    <w:abstractNumId w:val="7"/>
  </w:num>
  <w:num w:numId="5" w16cid:durableId="904880601">
    <w:abstractNumId w:val="14"/>
  </w:num>
  <w:num w:numId="6" w16cid:durableId="786317842">
    <w:abstractNumId w:val="3"/>
  </w:num>
  <w:num w:numId="7" w16cid:durableId="204879925">
    <w:abstractNumId w:val="9"/>
  </w:num>
  <w:num w:numId="8" w16cid:durableId="2066906204">
    <w:abstractNumId w:val="0"/>
  </w:num>
  <w:num w:numId="9" w16cid:durableId="1301228932">
    <w:abstractNumId w:val="5"/>
  </w:num>
  <w:num w:numId="10" w16cid:durableId="2003270128">
    <w:abstractNumId w:val="10"/>
  </w:num>
  <w:num w:numId="11" w16cid:durableId="883181364">
    <w:abstractNumId w:val="6"/>
  </w:num>
  <w:num w:numId="12" w16cid:durableId="1560046645">
    <w:abstractNumId w:val="8"/>
  </w:num>
  <w:num w:numId="13" w16cid:durableId="945965607">
    <w:abstractNumId w:val="11"/>
  </w:num>
  <w:num w:numId="14" w16cid:durableId="1909803537">
    <w:abstractNumId w:val="2"/>
  </w:num>
  <w:num w:numId="15" w16cid:durableId="1949696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5AE"/>
    <w:rsid w:val="004061DC"/>
    <w:rsid w:val="00C275A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0215"/>
  <w15:chartTrackingRefBased/>
  <w15:docId w15:val="{95C365C7-5C03-4639-88E5-CD27CD39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5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5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5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5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5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5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5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5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5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5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5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5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5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5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5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5AE"/>
    <w:rPr>
      <w:rFonts w:eastAsiaTheme="majorEastAsia" w:cstheme="majorBidi"/>
      <w:color w:val="272727" w:themeColor="text1" w:themeTint="D8"/>
    </w:rPr>
  </w:style>
  <w:style w:type="paragraph" w:styleId="Title">
    <w:name w:val="Title"/>
    <w:basedOn w:val="Normal"/>
    <w:next w:val="Normal"/>
    <w:link w:val="TitleChar"/>
    <w:uiPriority w:val="10"/>
    <w:qFormat/>
    <w:rsid w:val="00C27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5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5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5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5AE"/>
    <w:pPr>
      <w:spacing w:before="160"/>
      <w:jc w:val="center"/>
    </w:pPr>
    <w:rPr>
      <w:i/>
      <w:iCs/>
      <w:color w:val="404040" w:themeColor="text1" w:themeTint="BF"/>
    </w:rPr>
  </w:style>
  <w:style w:type="character" w:customStyle="1" w:styleId="QuoteChar">
    <w:name w:val="Quote Char"/>
    <w:basedOn w:val="DefaultParagraphFont"/>
    <w:link w:val="Quote"/>
    <w:uiPriority w:val="29"/>
    <w:rsid w:val="00C275AE"/>
    <w:rPr>
      <w:i/>
      <w:iCs/>
      <w:color w:val="404040" w:themeColor="text1" w:themeTint="BF"/>
    </w:rPr>
  </w:style>
  <w:style w:type="paragraph" w:styleId="ListParagraph">
    <w:name w:val="List Paragraph"/>
    <w:basedOn w:val="Normal"/>
    <w:uiPriority w:val="34"/>
    <w:qFormat/>
    <w:rsid w:val="00C275AE"/>
    <w:pPr>
      <w:ind w:left="720"/>
      <w:contextualSpacing/>
    </w:pPr>
  </w:style>
  <w:style w:type="character" w:styleId="IntenseEmphasis">
    <w:name w:val="Intense Emphasis"/>
    <w:basedOn w:val="DefaultParagraphFont"/>
    <w:uiPriority w:val="21"/>
    <w:qFormat/>
    <w:rsid w:val="00C275AE"/>
    <w:rPr>
      <w:i/>
      <w:iCs/>
      <w:color w:val="0F4761" w:themeColor="accent1" w:themeShade="BF"/>
    </w:rPr>
  </w:style>
  <w:style w:type="paragraph" w:styleId="IntenseQuote">
    <w:name w:val="Intense Quote"/>
    <w:basedOn w:val="Normal"/>
    <w:next w:val="Normal"/>
    <w:link w:val="IntenseQuoteChar"/>
    <w:uiPriority w:val="30"/>
    <w:qFormat/>
    <w:rsid w:val="00C27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5AE"/>
    <w:rPr>
      <w:i/>
      <w:iCs/>
      <w:color w:val="0F4761" w:themeColor="accent1" w:themeShade="BF"/>
    </w:rPr>
  </w:style>
  <w:style w:type="character" w:styleId="IntenseReference">
    <w:name w:val="Intense Reference"/>
    <w:basedOn w:val="DefaultParagraphFont"/>
    <w:uiPriority w:val="32"/>
    <w:qFormat/>
    <w:rsid w:val="00C275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545596">
      <w:bodyDiv w:val="1"/>
      <w:marLeft w:val="0"/>
      <w:marRight w:val="0"/>
      <w:marTop w:val="0"/>
      <w:marBottom w:val="0"/>
      <w:divBdr>
        <w:top w:val="none" w:sz="0" w:space="0" w:color="auto"/>
        <w:left w:val="none" w:sz="0" w:space="0" w:color="auto"/>
        <w:bottom w:val="none" w:sz="0" w:space="0" w:color="auto"/>
        <w:right w:val="none" w:sz="0" w:space="0" w:color="auto"/>
      </w:divBdr>
      <w:divsChild>
        <w:div w:id="157236047">
          <w:marLeft w:val="0"/>
          <w:marRight w:val="0"/>
          <w:marTop w:val="0"/>
          <w:marBottom w:val="0"/>
          <w:divBdr>
            <w:top w:val="none" w:sz="0" w:space="0" w:color="auto"/>
            <w:left w:val="none" w:sz="0" w:space="0" w:color="auto"/>
            <w:bottom w:val="none" w:sz="0" w:space="0" w:color="auto"/>
            <w:right w:val="none" w:sz="0" w:space="0" w:color="auto"/>
          </w:divBdr>
          <w:divsChild>
            <w:div w:id="190456861">
              <w:marLeft w:val="0"/>
              <w:marRight w:val="0"/>
              <w:marTop w:val="100"/>
              <w:marBottom w:val="100"/>
              <w:divBdr>
                <w:top w:val="none" w:sz="0" w:space="0" w:color="auto"/>
                <w:left w:val="none" w:sz="0" w:space="0" w:color="auto"/>
                <w:bottom w:val="none" w:sz="0" w:space="0" w:color="auto"/>
                <w:right w:val="none" w:sz="0" w:space="0" w:color="auto"/>
              </w:divBdr>
              <w:divsChild>
                <w:div w:id="2025738886">
                  <w:marLeft w:val="0"/>
                  <w:marRight w:val="0"/>
                  <w:marTop w:val="0"/>
                  <w:marBottom w:val="0"/>
                  <w:divBdr>
                    <w:top w:val="none" w:sz="0" w:space="0" w:color="auto"/>
                    <w:left w:val="none" w:sz="0" w:space="0" w:color="auto"/>
                    <w:bottom w:val="none" w:sz="0" w:space="0" w:color="auto"/>
                    <w:right w:val="none" w:sz="0" w:space="0" w:color="auto"/>
                  </w:divBdr>
                  <w:divsChild>
                    <w:div w:id="113432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555135">
          <w:marLeft w:val="0"/>
          <w:marRight w:val="0"/>
          <w:marTop w:val="0"/>
          <w:marBottom w:val="0"/>
          <w:divBdr>
            <w:top w:val="none" w:sz="0" w:space="0" w:color="auto"/>
            <w:left w:val="none" w:sz="0" w:space="0" w:color="auto"/>
            <w:bottom w:val="none" w:sz="0" w:space="0" w:color="auto"/>
            <w:right w:val="none" w:sz="0" w:space="0" w:color="auto"/>
          </w:divBdr>
          <w:divsChild>
            <w:div w:id="947279704">
              <w:marLeft w:val="0"/>
              <w:marRight w:val="0"/>
              <w:marTop w:val="100"/>
              <w:marBottom w:val="100"/>
              <w:divBdr>
                <w:top w:val="none" w:sz="0" w:space="0" w:color="auto"/>
                <w:left w:val="none" w:sz="0" w:space="0" w:color="auto"/>
                <w:bottom w:val="none" w:sz="0" w:space="0" w:color="auto"/>
                <w:right w:val="none" w:sz="0" w:space="0" w:color="auto"/>
              </w:divBdr>
              <w:divsChild>
                <w:div w:id="1371614763">
                  <w:marLeft w:val="0"/>
                  <w:marRight w:val="0"/>
                  <w:marTop w:val="0"/>
                  <w:marBottom w:val="0"/>
                  <w:divBdr>
                    <w:top w:val="none" w:sz="0" w:space="0" w:color="auto"/>
                    <w:left w:val="none" w:sz="0" w:space="0" w:color="auto"/>
                    <w:bottom w:val="none" w:sz="0" w:space="0" w:color="auto"/>
                    <w:right w:val="none" w:sz="0" w:space="0" w:color="auto"/>
                  </w:divBdr>
                  <w:divsChild>
                    <w:div w:id="79647849">
                      <w:marLeft w:val="0"/>
                      <w:marRight w:val="0"/>
                      <w:marTop w:val="0"/>
                      <w:marBottom w:val="352"/>
                      <w:divBdr>
                        <w:top w:val="none" w:sz="0" w:space="0" w:color="auto"/>
                        <w:left w:val="none" w:sz="0" w:space="0" w:color="auto"/>
                        <w:bottom w:val="none" w:sz="0" w:space="0" w:color="auto"/>
                        <w:right w:val="none" w:sz="0" w:space="0" w:color="auto"/>
                      </w:divBdr>
                      <w:divsChild>
                        <w:div w:id="175165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403AD5C-B833-4649-9459-CC1E3DC92F87}"/>
</file>

<file path=customXml/itemProps2.xml><?xml version="1.0" encoding="utf-8"?>
<ds:datastoreItem xmlns:ds="http://schemas.openxmlformats.org/officeDocument/2006/customXml" ds:itemID="{D76975F6-1594-4771-8B3E-E3425B3DC9FE}"/>
</file>

<file path=customXml/itemProps3.xml><?xml version="1.0" encoding="utf-8"?>
<ds:datastoreItem xmlns:ds="http://schemas.openxmlformats.org/officeDocument/2006/customXml" ds:itemID="{7882A0F3-736A-4AAA-B880-AC9BC276939C}"/>
</file>

<file path=docProps/app.xml><?xml version="1.0" encoding="utf-8"?>
<Properties xmlns="http://schemas.openxmlformats.org/officeDocument/2006/extended-properties" xmlns:vt="http://schemas.openxmlformats.org/officeDocument/2006/docPropsVTypes">
  <Template>Normal</Template>
  <TotalTime>1</TotalTime>
  <Pages>6</Pages>
  <Words>1223</Words>
  <Characters>6977</Characters>
  <Application>Microsoft Office Word</Application>
  <DocSecurity>0</DocSecurity>
  <Lines>58</Lines>
  <Paragraphs>16</Paragraphs>
  <ScaleCrop>false</ScaleCrop>
  <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2025-05-28T23:09:00Z</dcterms:created>
  <dcterms:modified xsi:type="dcterms:W3CDTF">2025-05-28T23:56:00Z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