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A676B" w14:textId="77777777" w:rsidR="00C90A94" w:rsidRPr="00C90A94" w:rsidRDefault="00C90A94" w:rsidP="00C90A94">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C90A94">
        <w:rPr>
          <w:rFonts w:ascii="Montserrat" w:eastAsia="Times New Roman" w:hAnsi="Montserrat" w:cs="Times New Roman"/>
          <w:b/>
          <w:bCs/>
          <w:color w:val="006C91"/>
          <w:kern w:val="36"/>
          <w:sz w:val="51"/>
          <w:szCs w:val="51"/>
          <w:bdr w:val="none" w:sz="0" w:space="0" w:color="auto" w:frame="1"/>
          <w:lang w:eastAsia="en-AU"/>
          <w14:ligatures w14:val="none"/>
        </w:rPr>
        <w:t>Patient Transition and Exit Policy and Procedure</w:t>
      </w:r>
    </w:p>
    <w:p w14:paraId="1B6E3609" w14:textId="77777777" w:rsidR="00C90A94" w:rsidRPr="00C90A94" w:rsidRDefault="00C90A94" w:rsidP="00C90A94">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C90A94">
        <w:rPr>
          <w:rFonts w:ascii="Montserrat" w:eastAsia="Times New Roman" w:hAnsi="Montserrat" w:cs="Times New Roman"/>
          <w:b/>
          <w:bCs/>
          <w:color w:val="006C91"/>
          <w:kern w:val="36"/>
          <w:sz w:val="51"/>
          <w:szCs w:val="51"/>
          <w:bdr w:val="none" w:sz="0" w:space="0" w:color="auto" w:frame="1"/>
          <w:lang w:eastAsia="en-AU"/>
          <w14:ligatures w14:val="none"/>
        </w:rPr>
        <w:t>(SC1)</w:t>
      </w:r>
    </w:p>
    <w:p w14:paraId="5CFEC192" w14:textId="77777777" w:rsidR="00C90A94" w:rsidRDefault="00C90A94" w:rsidP="00C90A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E1BB9A7" w14:textId="52CB5167" w:rsidR="00C90A94" w:rsidRPr="00C90A94" w:rsidRDefault="00C90A94" w:rsidP="00C90A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90A94">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38AE3953" w14:textId="77777777" w:rsidR="00C90A94" w:rsidRPr="00C90A94" w:rsidRDefault="00C90A94" w:rsidP="00C90A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 xml:space="preserve">At Health United, our objective is to enhance the self-sufficiency, community involvement and smooth transitioning of the individuals we aid, after their needs are fulfilled and goals are accomplished. We consider transition planning to be an essential element of the assistance we provide, and we involve the patient in the process, as well as their family or other relevant individuals, as deemed necessary. Our </w:t>
      </w:r>
      <w:proofErr w:type="gramStart"/>
      <w:r w:rsidRPr="00C90A94">
        <w:rPr>
          <w:rFonts w:ascii="Montserrat" w:eastAsia="Times New Roman" w:hAnsi="Montserrat" w:cs="Times New Roman"/>
          <w:color w:val="5F646A"/>
          <w:kern w:val="0"/>
          <w:sz w:val="23"/>
          <w:szCs w:val="23"/>
          <w:lang w:eastAsia="en-AU"/>
          <w14:ligatures w14:val="none"/>
        </w:rPr>
        <w:t>ultimate goal</w:t>
      </w:r>
      <w:proofErr w:type="gramEnd"/>
      <w:r w:rsidRPr="00C90A94">
        <w:rPr>
          <w:rFonts w:ascii="Montserrat" w:eastAsia="Times New Roman" w:hAnsi="Montserrat" w:cs="Times New Roman"/>
          <w:color w:val="5F646A"/>
          <w:kern w:val="0"/>
          <w:sz w:val="23"/>
          <w:szCs w:val="23"/>
          <w:lang w:eastAsia="en-AU"/>
          <w14:ligatures w14:val="none"/>
        </w:rPr>
        <w:t xml:space="preserve"> is for patients to successfully exit our services or programs once their objectives are </w:t>
      </w:r>
      <w:proofErr w:type="gramStart"/>
      <w:r w:rsidRPr="00C90A94">
        <w:rPr>
          <w:rFonts w:ascii="Montserrat" w:eastAsia="Times New Roman" w:hAnsi="Montserrat" w:cs="Times New Roman"/>
          <w:color w:val="5F646A"/>
          <w:kern w:val="0"/>
          <w:sz w:val="23"/>
          <w:szCs w:val="23"/>
          <w:lang w:eastAsia="en-AU"/>
          <w14:ligatures w14:val="none"/>
        </w:rPr>
        <w:t>met</w:t>
      </w:r>
      <w:proofErr w:type="gramEnd"/>
      <w:r w:rsidRPr="00C90A94">
        <w:rPr>
          <w:rFonts w:ascii="Montserrat" w:eastAsia="Times New Roman" w:hAnsi="Montserrat" w:cs="Times New Roman"/>
          <w:color w:val="5F646A"/>
          <w:kern w:val="0"/>
          <w:sz w:val="23"/>
          <w:szCs w:val="23"/>
          <w:lang w:eastAsia="en-AU"/>
          <w14:ligatures w14:val="none"/>
        </w:rPr>
        <w:t xml:space="preserve"> or they move on to another service.</w:t>
      </w:r>
    </w:p>
    <w:p w14:paraId="3726D62F" w14:textId="77777777" w:rsidR="00C90A94" w:rsidRDefault="00C90A94" w:rsidP="00C90A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ED9F029" w14:textId="3454E01F" w:rsidR="00C90A94" w:rsidRPr="00C90A94" w:rsidRDefault="00C90A94" w:rsidP="00C90A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90A94">
        <w:rPr>
          <w:rFonts w:ascii="Montserrat" w:eastAsia="Times New Roman" w:hAnsi="Montserrat" w:cs="Times New Roman"/>
          <w:b/>
          <w:bCs/>
          <w:color w:val="ED1E67"/>
          <w:kern w:val="0"/>
          <w:sz w:val="44"/>
          <w:szCs w:val="44"/>
          <w:bdr w:val="none" w:sz="0" w:space="0" w:color="auto" w:frame="1"/>
          <w:lang w:eastAsia="en-AU"/>
          <w14:ligatures w14:val="none"/>
        </w:rPr>
        <w:t>Scope</w:t>
      </w:r>
    </w:p>
    <w:p w14:paraId="59DF018D" w14:textId="77777777" w:rsidR="00C90A94" w:rsidRPr="00C90A94" w:rsidRDefault="00C90A94" w:rsidP="00C90A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The purpose of this policy is to provide guidance to Health United staff, volunteers and medical professionals on how to facilitate the transition of patients from Health United to self-support or another service and how to manage patient disengagement.</w:t>
      </w:r>
    </w:p>
    <w:p w14:paraId="5B4B61F3" w14:textId="77777777" w:rsidR="00C90A94" w:rsidRPr="00C90A94" w:rsidRDefault="00C90A94" w:rsidP="00C90A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All staff, volunteers and medical professionals of Health United Support Services are subject to the guidelines set forth in the Patient Transition and Exit Policy.</w:t>
      </w:r>
    </w:p>
    <w:p w14:paraId="09BAB14D" w14:textId="77777777" w:rsidR="00C90A94" w:rsidRDefault="00C90A94" w:rsidP="00C90A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5F99E69" w14:textId="67F3A981" w:rsidR="00C90A94" w:rsidRPr="00C90A94" w:rsidRDefault="00C90A94" w:rsidP="00C90A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90A94">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043F1B02" w14:textId="77777777" w:rsidR="00C90A94" w:rsidRPr="00C90A94" w:rsidRDefault="00C90A94" w:rsidP="00C90A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At Health United, we understand that our patients may need to transition out of our services or programs for various reasons. Therefore, we have developed a patient-centred and flexible policy to ensure patients can achieve their goals and receive appropriate support even after leaving our services or programs.</w:t>
      </w:r>
    </w:p>
    <w:p w14:paraId="164FCC04" w14:textId="77777777" w:rsidR="00C90A94" w:rsidRDefault="00C90A94" w:rsidP="00C90A94">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3FBCEC2" w14:textId="5A309EFA" w:rsidR="00C90A94" w:rsidRPr="00C90A94" w:rsidRDefault="00C90A94" w:rsidP="00C90A94">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90A94">
        <w:rPr>
          <w:rFonts w:ascii="Montserrat" w:eastAsia="Times New Roman" w:hAnsi="Montserrat" w:cs="Times New Roman"/>
          <w:b/>
          <w:bCs/>
          <w:color w:val="FCB53B"/>
          <w:kern w:val="0"/>
          <w:sz w:val="36"/>
          <w:szCs w:val="36"/>
          <w:bdr w:val="none" w:sz="0" w:space="0" w:color="auto" w:frame="1"/>
          <w:lang w:eastAsia="en-AU"/>
          <w14:ligatures w14:val="none"/>
        </w:rPr>
        <w:t>Transition</w:t>
      </w:r>
    </w:p>
    <w:p w14:paraId="6E379056" w14:textId="77777777" w:rsidR="00C90A94" w:rsidRPr="00C90A94" w:rsidRDefault="00C90A94" w:rsidP="00C90A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 xml:space="preserve">Transition planning is an integral part of the support we provide, and it is connected to other planning processes for our patients. We will prompt transition planning when a patient feels they are close to achieving their planned goals; when their needs would be best met by another service; when they are moving away from our service or program location; when they no longer need assistance; or when they have exhausted available services without progress towards their goals. We will centre transition planning on the patient’s individual needs and circumstances, ensure their informed and influential participation, and incorporate the involvement of support people </w:t>
      </w:r>
      <w:r w:rsidRPr="00C90A94">
        <w:rPr>
          <w:rFonts w:ascii="Montserrat" w:eastAsia="Times New Roman" w:hAnsi="Montserrat" w:cs="Times New Roman"/>
          <w:color w:val="5F646A"/>
          <w:kern w:val="0"/>
          <w:sz w:val="23"/>
          <w:szCs w:val="23"/>
          <w:lang w:eastAsia="en-AU"/>
          <w14:ligatures w14:val="none"/>
        </w:rPr>
        <w:lastRenderedPageBreak/>
        <w:t>where appropriate. Our planning will be flexible and include contingencies to ensure a smooth and safe transition from our services or programs.</w:t>
      </w:r>
    </w:p>
    <w:p w14:paraId="64A9255B" w14:textId="77777777" w:rsidR="00C90A94" w:rsidRPr="00C90A94" w:rsidRDefault="00C90A94" w:rsidP="00C90A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 xml:space="preserve">We believe that transition planning is an opportunity to acknowledge our patients’ strengths and achievements. Therefore, our plan will ensure that patients have the knowledge and skills for self-support and know where to access local support if needed. We will prioritise the safety and capacity for patients to live independently and engage with their community in our transition planning. If needed, we may document a summary of supports and/or recommendations for the patient to </w:t>
      </w:r>
      <w:proofErr w:type="gramStart"/>
      <w:r w:rsidRPr="00C90A94">
        <w:rPr>
          <w:rFonts w:ascii="Montserrat" w:eastAsia="Times New Roman" w:hAnsi="Montserrat" w:cs="Times New Roman"/>
          <w:color w:val="5F646A"/>
          <w:kern w:val="0"/>
          <w:sz w:val="23"/>
          <w:szCs w:val="23"/>
          <w:lang w:eastAsia="en-AU"/>
          <w14:ligatures w14:val="none"/>
        </w:rPr>
        <w:t>refer back</w:t>
      </w:r>
      <w:proofErr w:type="gramEnd"/>
      <w:r w:rsidRPr="00C90A94">
        <w:rPr>
          <w:rFonts w:ascii="Montserrat" w:eastAsia="Times New Roman" w:hAnsi="Montserrat" w:cs="Times New Roman"/>
          <w:color w:val="5F646A"/>
          <w:kern w:val="0"/>
          <w:sz w:val="23"/>
          <w:szCs w:val="23"/>
          <w:lang w:eastAsia="en-AU"/>
          <w14:ligatures w14:val="none"/>
        </w:rPr>
        <w:t xml:space="preserve"> to and offer periodic contact with Health United following the transition.</w:t>
      </w:r>
    </w:p>
    <w:p w14:paraId="0DC09F68" w14:textId="77777777" w:rsidR="00C90A94" w:rsidRDefault="00C90A94" w:rsidP="00C90A94">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80B0679" w14:textId="0E527E36" w:rsidR="00C90A94" w:rsidRPr="00C90A94" w:rsidRDefault="00C90A94" w:rsidP="00C90A94">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90A94">
        <w:rPr>
          <w:rFonts w:ascii="Montserrat" w:eastAsia="Times New Roman" w:hAnsi="Montserrat" w:cs="Times New Roman"/>
          <w:b/>
          <w:bCs/>
          <w:color w:val="FCB53B"/>
          <w:kern w:val="0"/>
          <w:sz w:val="36"/>
          <w:szCs w:val="36"/>
          <w:bdr w:val="none" w:sz="0" w:space="0" w:color="auto" w:frame="1"/>
          <w:lang w:eastAsia="en-AU"/>
          <w14:ligatures w14:val="none"/>
        </w:rPr>
        <w:t>Exit</w:t>
      </w:r>
    </w:p>
    <w:p w14:paraId="6A0437CE" w14:textId="77777777" w:rsidR="00C90A94" w:rsidRPr="00C90A94" w:rsidRDefault="00C90A94" w:rsidP="00C90A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 xml:space="preserve">If a patient wishes to exit our program or service before achieving their goals and transition planning, we will </w:t>
      </w:r>
      <w:proofErr w:type="gramStart"/>
      <w:r w:rsidRPr="00C90A94">
        <w:rPr>
          <w:rFonts w:ascii="Montserrat" w:eastAsia="Times New Roman" w:hAnsi="Montserrat" w:cs="Times New Roman"/>
          <w:color w:val="5F646A"/>
          <w:kern w:val="0"/>
          <w:sz w:val="23"/>
          <w:szCs w:val="23"/>
          <w:lang w:eastAsia="en-AU"/>
          <w14:ligatures w14:val="none"/>
        </w:rPr>
        <w:t>offer assistance</w:t>
      </w:r>
      <w:proofErr w:type="gramEnd"/>
      <w:r w:rsidRPr="00C90A94">
        <w:rPr>
          <w:rFonts w:ascii="Montserrat" w:eastAsia="Times New Roman" w:hAnsi="Montserrat" w:cs="Times New Roman"/>
          <w:color w:val="5F646A"/>
          <w:kern w:val="0"/>
          <w:sz w:val="23"/>
          <w:szCs w:val="23"/>
          <w:lang w:eastAsia="en-AU"/>
          <w14:ligatures w14:val="none"/>
        </w:rPr>
        <w:t xml:space="preserve"> with referral to another suitable service and uphold their right to refuse this offer. For some services and programs, we will document a plan to be followed in the event of a patient’s sudden exit from the service to ensure their safety and a smooth transition out of the service at short notice.</w:t>
      </w:r>
    </w:p>
    <w:p w14:paraId="3EDDD099" w14:textId="77777777" w:rsidR="00C90A94" w:rsidRPr="00C90A94" w:rsidRDefault="00C90A94" w:rsidP="00C90A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If a patient disengages without contact, we will make appropriate attempts to contact them to assist them in re-engaging, and all attempts to re-engage will be noted in the patient’s file. If a patient is to be exited due to their conduct, appropriate precautions will be taken to meet duty of care obligations. The Manager must be consulted and provide authorisation for the exit.</w:t>
      </w:r>
    </w:p>
    <w:p w14:paraId="5E985399" w14:textId="77777777" w:rsidR="00C90A94" w:rsidRPr="00C90A94" w:rsidRDefault="00C90A94" w:rsidP="00C90A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If a patient aged under 18 or a patient with children disengages in an unplanned manner and we have concerns about the safety, welfare or wellbeing of the child or young person, we will use the Mandatory Reporting Policy and Procedure to decide whether to report our concerns to the Child Protection Helpline. If the outcome of the Mandatory Reporting Policy and Procedure requires an immediate report to the Child Protection Helpline, we will make the report, and all attempts to notify the patient of the report will be documented. In the documentation, we will also include all actions undertaken to attempt to re-engage with the patient and their children.</w:t>
      </w:r>
    </w:p>
    <w:p w14:paraId="4C9631D5" w14:textId="77777777" w:rsidR="00C90A94" w:rsidRDefault="00C90A94" w:rsidP="00C90A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4CC0281" w14:textId="31B01EB1" w:rsidR="00C90A94" w:rsidRPr="00C90A94" w:rsidRDefault="00C90A94" w:rsidP="00C90A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90A94">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7188D43F" w14:textId="77777777" w:rsidR="00C90A94" w:rsidRPr="00C90A94" w:rsidRDefault="00C90A94" w:rsidP="00C90A9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The Family Law Act 1975 (</w:t>
      </w:r>
      <w:proofErr w:type="spellStart"/>
      <w:r w:rsidRPr="00C90A94">
        <w:rPr>
          <w:rFonts w:ascii="Montserrat" w:eastAsia="Times New Roman" w:hAnsi="Montserrat" w:cs="Times New Roman"/>
          <w:color w:val="5F646A"/>
          <w:kern w:val="0"/>
          <w:sz w:val="23"/>
          <w:szCs w:val="23"/>
          <w:lang w:eastAsia="en-AU"/>
          <w14:ligatures w14:val="none"/>
        </w:rPr>
        <w:t>Cth</w:t>
      </w:r>
      <w:proofErr w:type="spellEnd"/>
      <w:r w:rsidRPr="00C90A94">
        <w:rPr>
          <w:rFonts w:ascii="Montserrat" w:eastAsia="Times New Roman" w:hAnsi="Montserrat" w:cs="Times New Roman"/>
          <w:color w:val="5F646A"/>
          <w:kern w:val="0"/>
          <w:sz w:val="23"/>
          <w:szCs w:val="23"/>
          <w:lang w:eastAsia="en-AU"/>
          <w14:ligatures w14:val="none"/>
        </w:rPr>
        <w:t>)</w:t>
      </w:r>
    </w:p>
    <w:p w14:paraId="2943565F" w14:textId="77777777" w:rsidR="00C90A94" w:rsidRPr="00C90A94" w:rsidRDefault="00C90A94" w:rsidP="00C90A9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Aged Care Act 1997 (</w:t>
      </w:r>
      <w:proofErr w:type="spellStart"/>
      <w:r w:rsidRPr="00C90A94">
        <w:rPr>
          <w:rFonts w:ascii="Montserrat" w:eastAsia="Times New Roman" w:hAnsi="Montserrat" w:cs="Times New Roman"/>
          <w:color w:val="5F646A"/>
          <w:kern w:val="0"/>
          <w:sz w:val="23"/>
          <w:szCs w:val="23"/>
          <w:lang w:eastAsia="en-AU"/>
          <w14:ligatures w14:val="none"/>
        </w:rPr>
        <w:t>Cth</w:t>
      </w:r>
      <w:proofErr w:type="spellEnd"/>
      <w:r w:rsidRPr="00C90A94">
        <w:rPr>
          <w:rFonts w:ascii="Montserrat" w:eastAsia="Times New Roman" w:hAnsi="Montserrat" w:cs="Times New Roman"/>
          <w:color w:val="5F646A"/>
          <w:kern w:val="0"/>
          <w:sz w:val="23"/>
          <w:szCs w:val="23"/>
          <w:lang w:eastAsia="en-AU"/>
          <w14:ligatures w14:val="none"/>
        </w:rPr>
        <w:t>)</w:t>
      </w:r>
    </w:p>
    <w:p w14:paraId="17553A21" w14:textId="77777777" w:rsidR="00C90A94" w:rsidRPr="00C90A94" w:rsidRDefault="00C90A94" w:rsidP="00C90A9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Disability Discrimination Act 1992 (</w:t>
      </w:r>
      <w:proofErr w:type="spellStart"/>
      <w:r w:rsidRPr="00C90A94">
        <w:rPr>
          <w:rFonts w:ascii="Montserrat" w:eastAsia="Times New Roman" w:hAnsi="Montserrat" w:cs="Times New Roman"/>
          <w:color w:val="5F646A"/>
          <w:kern w:val="0"/>
          <w:sz w:val="23"/>
          <w:szCs w:val="23"/>
          <w:lang w:eastAsia="en-AU"/>
          <w14:ligatures w14:val="none"/>
        </w:rPr>
        <w:t>Cth</w:t>
      </w:r>
      <w:proofErr w:type="spellEnd"/>
      <w:r w:rsidRPr="00C90A94">
        <w:rPr>
          <w:rFonts w:ascii="Montserrat" w:eastAsia="Times New Roman" w:hAnsi="Montserrat" w:cs="Times New Roman"/>
          <w:color w:val="5F646A"/>
          <w:kern w:val="0"/>
          <w:sz w:val="23"/>
          <w:szCs w:val="23"/>
          <w:lang w:eastAsia="en-AU"/>
          <w14:ligatures w14:val="none"/>
        </w:rPr>
        <w:t>)</w:t>
      </w:r>
    </w:p>
    <w:p w14:paraId="3BA3BFA2" w14:textId="77777777" w:rsidR="00C90A94" w:rsidRPr="00C90A94" w:rsidRDefault="00C90A94" w:rsidP="00C90A9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My Health Records Act 2012 (</w:t>
      </w:r>
      <w:proofErr w:type="spellStart"/>
      <w:r w:rsidRPr="00C90A94">
        <w:rPr>
          <w:rFonts w:ascii="Montserrat" w:eastAsia="Times New Roman" w:hAnsi="Montserrat" w:cs="Times New Roman"/>
          <w:color w:val="5F646A"/>
          <w:kern w:val="0"/>
          <w:sz w:val="23"/>
          <w:szCs w:val="23"/>
          <w:lang w:eastAsia="en-AU"/>
          <w14:ligatures w14:val="none"/>
        </w:rPr>
        <w:t>Cth</w:t>
      </w:r>
      <w:proofErr w:type="spellEnd"/>
      <w:r w:rsidRPr="00C90A94">
        <w:rPr>
          <w:rFonts w:ascii="Montserrat" w:eastAsia="Times New Roman" w:hAnsi="Montserrat" w:cs="Times New Roman"/>
          <w:color w:val="5F646A"/>
          <w:kern w:val="0"/>
          <w:sz w:val="23"/>
          <w:szCs w:val="23"/>
          <w:lang w:eastAsia="en-AU"/>
          <w14:ligatures w14:val="none"/>
        </w:rPr>
        <w:t>)</w:t>
      </w:r>
    </w:p>
    <w:p w14:paraId="13FB73CF" w14:textId="77777777" w:rsidR="00C90A94" w:rsidRPr="00C90A94" w:rsidRDefault="00C90A94" w:rsidP="00C90A9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Privacy Act 1988 (</w:t>
      </w:r>
      <w:proofErr w:type="spellStart"/>
      <w:r w:rsidRPr="00C90A94">
        <w:rPr>
          <w:rFonts w:ascii="Montserrat" w:eastAsia="Times New Roman" w:hAnsi="Montserrat" w:cs="Times New Roman"/>
          <w:color w:val="5F646A"/>
          <w:kern w:val="0"/>
          <w:sz w:val="23"/>
          <w:szCs w:val="23"/>
          <w:lang w:eastAsia="en-AU"/>
          <w14:ligatures w14:val="none"/>
        </w:rPr>
        <w:t>Cth</w:t>
      </w:r>
      <w:proofErr w:type="spellEnd"/>
      <w:r w:rsidRPr="00C90A94">
        <w:rPr>
          <w:rFonts w:ascii="Montserrat" w:eastAsia="Times New Roman" w:hAnsi="Montserrat" w:cs="Times New Roman"/>
          <w:color w:val="5F646A"/>
          <w:kern w:val="0"/>
          <w:sz w:val="23"/>
          <w:szCs w:val="23"/>
          <w:lang w:eastAsia="en-AU"/>
          <w14:ligatures w14:val="none"/>
        </w:rPr>
        <w:t>)</w:t>
      </w:r>
    </w:p>
    <w:p w14:paraId="30968A64" w14:textId="77777777" w:rsidR="00C90A94" w:rsidRPr="00C90A94" w:rsidRDefault="00C90A94" w:rsidP="00C90A9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Racial Discrimination Act 1975 (</w:t>
      </w:r>
      <w:proofErr w:type="spellStart"/>
      <w:r w:rsidRPr="00C90A94">
        <w:rPr>
          <w:rFonts w:ascii="Montserrat" w:eastAsia="Times New Roman" w:hAnsi="Montserrat" w:cs="Times New Roman"/>
          <w:color w:val="5F646A"/>
          <w:kern w:val="0"/>
          <w:sz w:val="23"/>
          <w:szCs w:val="23"/>
          <w:lang w:eastAsia="en-AU"/>
          <w14:ligatures w14:val="none"/>
        </w:rPr>
        <w:t>Cth</w:t>
      </w:r>
      <w:proofErr w:type="spellEnd"/>
      <w:r w:rsidRPr="00C90A94">
        <w:rPr>
          <w:rFonts w:ascii="Montserrat" w:eastAsia="Times New Roman" w:hAnsi="Montserrat" w:cs="Times New Roman"/>
          <w:color w:val="5F646A"/>
          <w:kern w:val="0"/>
          <w:sz w:val="23"/>
          <w:szCs w:val="23"/>
          <w:lang w:eastAsia="en-AU"/>
          <w14:ligatures w14:val="none"/>
        </w:rPr>
        <w:t>)</w:t>
      </w:r>
    </w:p>
    <w:p w14:paraId="1A47EF07" w14:textId="77777777" w:rsidR="00C90A94" w:rsidRPr="00C90A94" w:rsidRDefault="00C90A94" w:rsidP="00C90A9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Sex Discrimination Act 1984 (</w:t>
      </w:r>
      <w:proofErr w:type="spellStart"/>
      <w:r w:rsidRPr="00C90A94">
        <w:rPr>
          <w:rFonts w:ascii="Montserrat" w:eastAsia="Times New Roman" w:hAnsi="Montserrat" w:cs="Times New Roman"/>
          <w:color w:val="5F646A"/>
          <w:kern w:val="0"/>
          <w:sz w:val="23"/>
          <w:szCs w:val="23"/>
          <w:lang w:eastAsia="en-AU"/>
          <w14:ligatures w14:val="none"/>
        </w:rPr>
        <w:t>Cth</w:t>
      </w:r>
      <w:proofErr w:type="spellEnd"/>
      <w:r w:rsidRPr="00C90A94">
        <w:rPr>
          <w:rFonts w:ascii="Montserrat" w:eastAsia="Times New Roman" w:hAnsi="Montserrat" w:cs="Times New Roman"/>
          <w:color w:val="5F646A"/>
          <w:kern w:val="0"/>
          <w:sz w:val="23"/>
          <w:szCs w:val="23"/>
          <w:lang w:eastAsia="en-AU"/>
          <w14:ligatures w14:val="none"/>
        </w:rPr>
        <w:t>)</w:t>
      </w:r>
    </w:p>
    <w:p w14:paraId="54A9AB12" w14:textId="77777777" w:rsidR="00C90A94" w:rsidRPr="00C90A94" w:rsidRDefault="00C90A94" w:rsidP="00C90A9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Supported Accommodation Assistance Act 1994 (</w:t>
      </w:r>
      <w:proofErr w:type="spellStart"/>
      <w:r w:rsidRPr="00C90A94">
        <w:rPr>
          <w:rFonts w:ascii="Montserrat" w:eastAsia="Times New Roman" w:hAnsi="Montserrat" w:cs="Times New Roman"/>
          <w:color w:val="5F646A"/>
          <w:kern w:val="0"/>
          <w:sz w:val="23"/>
          <w:szCs w:val="23"/>
          <w:lang w:eastAsia="en-AU"/>
          <w14:ligatures w14:val="none"/>
        </w:rPr>
        <w:t>Cth</w:t>
      </w:r>
      <w:proofErr w:type="spellEnd"/>
      <w:r w:rsidRPr="00C90A94">
        <w:rPr>
          <w:rFonts w:ascii="Montserrat" w:eastAsia="Times New Roman" w:hAnsi="Montserrat" w:cs="Times New Roman"/>
          <w:color w:val="5F646A"/>
          <w:kern w:val="0"/>
          <w:sz w:val="23"/>
          <w:szCs w:val="23"/>
          <w:lang w:eastAsia="en-AU"/>
          <w14:ligatures w14:val="none"/>
        </w:rPr>
        <w:t>)</w:t>
      </w:r>
    </w:p>
    <w:p w14:paraId="0C14AEFA" w14:textId="77777777" w:rsidR="00C90A94" w:rsidRPr="00C90A94" w:rsidRDefault="00C90A94" w:rsidP="00C90A9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lastRenderedPageBreak/>
        <w:t>Work Health and Safety Act 2011 (</w:t>
      </w:r>
      <w:proofErr w:type="spellStart"/>
      <w:r w:rsidRPr="00C90A94">
        <w:rPr>
          <w:rFonts w:ascii="Montserrat" w:eastAsia="Times New Roman" w:hAnsi="Montserrat" w:cs="Times New Roman"/>
          <w:color w:val="5F646A"/>
          <w:kern w:val="0"/>
          <w:sz w:val="23"/>
          <w:szCs w:val="23"/>
          <w:lang w:eastAsia="en-AU"/>
          <w14:ligatures w14:val="none"/>
        </w:rPr>
        <w:t>Cth</w:t>
      </w:r>
      <w:proofErr w:type="spellEnd"/>
      <w:r w:rsidRPr="00C90A94">
        <w:rPr>
          <w:rFonts w:ascii="Montserrat" w:eastAsia="Times New Roman" w:hAnsi="Montserrat" w:cs="Times New Roman"/>
          <w:color w:val="5F646A"/>
          <w:kern w:val="0"/>
          <w:sz w:val="23"/>
          <w:szCs w:val="23"/>
          <w:lang w:eastAsia="en-AU"/>
          <w14:ligatures w14:val="none"/>
        </w:rPr>
        <w:t>)</w:t>
      </w:r>
    </w:p>
    <w:p w14:paraId="35EC1AC5" w14:textId="77777777" w:rsidR="00C90A94" w:rsidRDefault="00C90A94" w:rsidP="00C90A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08973B5" w14:textId="3902A7CC" w:rsidR="00C90A94" w:rsidRPr="00C90A94" w:rsidRDefault="00C90A94" w:rsidP="00C90A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90A94">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042893CA" w14:textId="77777777" w:rsidR="00C90A94" w:rsidRPr="00C90A94" w:rsidRDefault="00C90A94" w:rsidP="00C90A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Health United is guided by the following principles in its policy statement:</w:t>
      </w:r>
    </w:p>
    <w:p w14:paraId="23BA663B" w14:textId="77777777" w:rsidR="00C90A94" w:rsidRPr="00C90A94" w:rsidRDefault="00C90A94" w:rsidP="00C90A9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Patient Empowerment: We believe in empowering patients to make decisions and actively participate in decision-making and planning.</w:t>
      </w:r>
    </w:p>
    <w:p w14:paraId="40F0A19A" w14:textId="77777777" w:rsidR="00C90A94" w:rsidRPr="00C90A94" w:rsidRDefault="00C90A94" w:rsidP="00C90A9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 xml:space="preserve">Holistic and Strengths-Based: We </w:t>
      </w:r>
      <w:proofErr w:type="gramStart"/>
      <w:r w:rsidRPr="00C90A94">
        <w:rPr>
          <w:rFonts w:ascii="Montserrat" w:eastAsia="Times New Roman" w:hAnsi="Montserrat" w:cs="Times New Roman"/>
          <w:color w:val="5F646A"/>
          <w:kern w:val="0"/>
          <w:sz w:val="23"/>
          <w:szCs w:val="23"/>
          <w:lang w:eastAsia="en-AU"/>
          <w14:ligatures w14:val="none"/>
        </w:rPr>
        <w:t>assess</w:t>
      </w:r>
      <w:proofErr w:type="gramEnd"/>
      <w:r w:rsidRPr="00C90A94">
        <w:rPr>
          <w:rFonts w:ascii="Montserrat" w:eastAsia="Times New Roman" w:hAnsi="Montserrat" w:cs="Times New Roman"/>
          <w:color w:val="5F646A"/>
          <w:kern w:val="0"/>
          <w:sz w:val="23"/>
          <w:szCs w:val="23"/>
          <w:lang w:eastAsia="en-AU"/>
          <w14:ligatures w14:val="none"/>
        </w:rPr>
        <w:t xml:space="preserve"> and plan based on all aspects of an individual’s life, considering their strengths, needs, goals and the support required to achieve these.</w:t>
      </w:r>
    </w:p>
    <w:p w14:paraId="6A746550" w14:textId="77777777" w:rsidR="00C90A94" w:rsidRPr="00C90A94" w:rsidRDefault="00C90A94" w:rsidP="00C90A9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Goal-Oriented: We encourage patients to create realistic and achievable goals, empowering them to develop the knowledge and skills required to enhance self-sufficiency and independence.</w:t>
      </w:r>
    </w:p>
    <w:p w14:paraId="0E5F9C23" w14:textId="77777777" w:rsidR="00C90A94" w:rsidRPr="00C90A94" w:rsidRDefault="00C90A94" w:rsidP="00C90A9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Dynamic and Flexible: Our engagement process is dynamic and flexible enough to respond to and/or adjust to changes that may occur in the patient’s life or in the broader context.</w:t>
      </w:r>
    </w:p>
    <w:p w14:paraId="04F597AD" w14:textId="77777777" w:rsidR="00C90A94" w:rsidRPr="00C90A94" w:rsidRDefault="00C90A94" w:rsidP="00C90A9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Collaborative: We develop cooperative relationships with relevant services, organisations, professionals and community resources to enable ‘warm referrals’ and promote collaborative practice.</w:t>
      </w:r>
    </w:p>
    <w:p w14:paraId="5CC87AB9" w14:textId="77777777" w:rsidR="00C90A94" w:rsidRPr="00C90A94" w:rsidRDefault="00C90A94" w:rsidP="00C90A9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Culturally and Socially Safe: We acknowledge and respond to the strengths and needs of each patient, ensuring cultural and social safety is always explored and attended to.</w:t>
      </w:r>
    </w:p>
    <w:p w14:paraId="1218F1DD" w14:textId="77777777" w:rsidR="00C90A94" w:rsidRPr="00C90A94" w:rsidRDefault="00C90A94" w:rsidP="00C90A9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Evidence-Informed: We integrate practitioner expertise, patient expertise and values, and the best available research evidence to promote positive outcomes with patients.</w:t>
      </w:r>
    </w:p>
    <w:p w14:paraId="620358EA" w14:textId="77777777" w:rsidR="00C90A94" w:rsidRPr="00C90A94" w:rsidRDefault="00C90A94" w:rsidP="00C90A9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Right to Privacy and Consent: We maintain patients’ right to privacy and confidentiality at all stages of the case management process, only collecting, using, sharing and storing information necessary for service delivery.</w:t>
      </w:r>
    </w:p>
    <w:p w14:paraId="3576FA9A" w14:textId="77777777" w:rsidR="00C90A94" w:rsidRPr="00C90A94" w:rsidRDefault="00C90A94" w:rsidP="00C90A9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These principles guide us in delivering an effective, accessible, inclusive and professional service.</w:t>
      </w:r>
    </w:p>
    <w:p w14:paraId="4F781117" w14:textId="77777777" w:rsidR="00C90A94" w:rsidRDefault="00C90A94" w:rsidP="00C90A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078A782" w14:textId="3DCBD35B" w:rsidR="00C90A94" w:rsidRPr="00C90A94" w:rsidRDefault="00C90A94" w:rsidP="00C90A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90A94">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1FBEFD98" w14:textId="77777777" w:rsidR="00C90A94" w:rsidRPr="00C90A94" w:rsidRDefault="00C90A94" w:rsidP="00C90A9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Code of Conduct Policy and Procedure</w:t>
      </w:r>
    </w:p>
    <w:p w14:paraId="7D13821D" w14:textId="77777777" w:rsidR="00C90A94" w:rsidRPr="00C90A94" w:rsidRDefault="00C90A94" w:rsidP="00C90A9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Complaints Policy and Procedure</w:t>
      </w:r>
    </w:p>
    <w:p w14:paraId="707380D4" w14:textId="77777777" w:rsidR="00C90A94" w:rsidRPr="00C90A94" w:rsidRDefault="00C90A94" w:rsidP="00C90A9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lastRenderedPageBreak/>
        <w:t>Conflict of Interest Policy and Procedure</w:t>
      </w:r>
    </w:p>
    <w:p w14:paraId="1A222D3E" w14:textId="77777777" w:rsidR="00C90A94" w:rsidRPr="00C90A94" w:rsidRDefault="00C90A94" w:rsidP="00C90A9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Privacy and Confidentiality Policy and Procedure</w:t>
      </w:r>
    </w:p>
    <w:p w14:paraId="2C2E707A" w14:textId="77777777" w:rsidR="00C90A94" w:rsidRPr="00C90A94" w:rsidRDefault="00C90A94" w:rsidP="00C90A9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Document and Record Keeping Policy and Procedure</w:t>
      </w:r>
    </w:p>
    <w:p w14:paraId="0C9DC0B4" w14:textId="77777777" w:rsidR="00C90A94" w:rsidRPr="00C90A94" w:rsidRDefault="00C90A94" w:rsidP="00C90A9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Referrals Policy and Procedure</w:t>
      </w:r>
    </w:p>
    <w:p w14:paraId="1AF67EB4" w14:textId="77777777" w:rsidR="00C90A94" w:rsidRPr="00C90A94" w:rsidRDefault="00C90A94" w:rsidP="00C90A9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Individualised Plans Policy and Procedure</w:t>
      </w:r>
    </w:p>
    <w:p w14:paraId="7D67738A" w14:textId="77777777" w:rsidR="00C90A94" w:rsidRPr="00C90A94" w:rsidRDefault="00C90A94" w:rsidP="00C90A9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Inclusion and Diversity Policy and Procedure</w:t>
      </w:r>
    </w:p>
    <w:p w14:paraId="1539B7E8" w14:textId="77777777" w:rsidR="00C90A94" w:rsidRDefault="00C90A94" w:rsidP="00C90A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4C85F29" w14:textId="4C3480B0" w:rsidR="00C90A94" w:rsidRPr="00C90A94" w:rsidRDefault="00C90A94" w:rsidP="00C90A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90A94">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15F75C46" w14:textId="77777777" w:rsidR="00C90A94" w:rsidRPr="00C90A94" w:rsidRDefault="00C90A94" w:rsidP="00C90A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Performance Management Policy to enable staff to fulfil their roles effectively.</w:t>
      </w:r>
    </w:p>
    <w:p w14:paraId="4D9B9BA2" w14:textId="77777777" w:rsidR="00C90A94" w:rsidRPr="00C90A94" w:rsidRDefault="00C90A94" w:rsidP="00C90A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In addition, the organisation promotes information sharing at staff meetings, sharing of information received from industry trends or changes in legislation and consultation at policy review sessions.</w:t>
      </w:r>
    </w:p>
    <w:p w14:paraId="57E7FDDA" w14:textId="77777777" w:rsidR="00C90A94" w:rsidRDefault="00C90A94" w:rsidP="00C90A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5AE6426" w14:textId="6250FC32" w:rsidR="00C90A94" w:rsidRPr="00C90A94" w:rsidRDefault="00C90A94" w:rsidP="00C90A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90A94">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38"/>
        <w:gridCol w:w="4399"/>
        <w:gridCol w:w="2402"/>
      </w:tblGrid>
      <w:tr w:rsidR="00C90A94" w:rsidRPr="00C90A94" w14:paraId="3C8F063F" w14:textId="77777777" w:rsidTr="00C90A94">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44FEE3" w14:textId="77777777" w:rsidR="00C90A94" w:rsidRPr="00C90A94" w:rsidRDefault="00C90A94" w:rsidP="00C90A94">
            <w:pPr>
              <w:spacing w:after="0" w:line="240" w:lineRule="auto"/>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F338AF" w14:textId="77777777" w:rsidR="00C90A94" w:rsidRPr="00C90A94" w:rsidRDefault="00C90A94" w:rsidP="00C90A94">
            <w:pPr>
              <w:spacing w:after="0" w:line="240" w:lineRule="auto"/>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D272E7" w14:textId="77777777" w:rsidR="00C90A94" w:rsidRPr="00C90A94" w:rsidRDefault="00C90A94" w:rsidP="00C90A94">
            <w:pPr>
              <w:spacing w:after="0" w:line="240" w:lineRule="auto"/>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C90A94" w:rsidRPr="00C90A94" w14:paraId="79A2012F" w14:textId="77777777" w:rsidTr="00C90A94">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EF8251" w14:textId="77777777" w:rsidR="00C90A94" w:rsidRPr="00C90A94" w:rsidRDefault="00C90A94" w:rsidP="00C90A94">
            <w:pPr>
              <w:spacing w:after="0" w:line="240" w:lineRule="auto"/>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Implemented April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6738B0" w14:textId="77777777" w:rsidR="00C90A94" w:rsidRPr="00C90A94" w:rsidRDefault="00C90A94" w:rsidP="00C90A94">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F69AEA" w14:textId="77777777" w:rsidR="00C90A94" w:rsidRPr="00C90A94" w:rsidRDefault="00C90A94" w:rsidP="00C90A94">
            <w:pPr>
              <w:spacing w:after="0" w:line="240" w:lineRule="auto"/>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April 2025</w:t>
            </w:r>
          </w:p>
        </w:tc>
      </w:tr>
    </w:tbl>
    <w:p w14:paraId="4CDF02F0" w14:textId="77777777" w:rsidR="00C90A94" w:rsidRDefault="00C90A94" w:rsidP="00C90A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71463C8" w14:textId="7A027F6A" w:rsidR="00C90A94" w:rsidRPr="00C90A94" w:rsidRDefault="00C90A94" w:rsidP="00C90A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90A94">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4444C54D" w14:textId="77777777" w:rsidR="00C90A94" w:rsidRPr="00C90A94" w:rsidRDefault="00C90A94" w:rsidP="00C90A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educators at staff meetings.</w:t>
      </w:r>
    </w:p>
    <w:p w14:paraId="38C9D88F" w14:textId="77777777" w:rsidR="00C90A94" w:rsidRDefault="00C90A94" w:rsidP="00C90A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D51E60E" w14:textId="22808DBA" w:rsidR="00C90A94" w:rsidRPr="00C90A94" w:rsidRDefault="00C90A94" w:rsidP="00C90A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C90A94">
        <w:rPr>
          <w:rFonts w:ascii="Montserrat" w:eastAsia="Times New Roman" w:hAnsi="Montserrat" w:cs="Times New Roman"/>
          <w:b/>
          <w:bCs/>
          <w:color w:val="ED1E67"/>
          <w:kern w:val="0"/>
          <w:sz w:val="44"/>
          <w:szCs w:val="44"/>
          <w:bdr w:val="none" w:sz="0" w:space="0" w:color="auto" w:frame="1"/>
          <w:lang w:eastAsia="en-AU"/>
          <w14:ligatures w14:val="none"/>
        </w:rPr>
        <w:t>Conflict of Interest Procedure</w:t>
      </w:r>
    </w:p>
    <w:p w14:paraId="50CDB209" w14:textId="77777777" w:rsidR="00C90A94" w:rsidRDefault="00C90A94" w:rsidP="00C90A94">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9F35AB6" w14:textId="3285C46F" w:rsidR="00C90A94" w:rsidRPr="00C90A94" w:rsidRDefault="00C90A94" w:rsidP="00C90A94">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90A94">
        <w:rPr>
          <w:rFonts w:ascii="Montserrat" w:eastAsia="Times New Roman" w:hAnsi="Montserrat" w:cs="Times New Roman"/>
          <w:b/>
          <w:bCs/>
          <w:color w:val="FCB53B"/>
          <w:kern w:val="0"/>
          <w:sz w:val="36"/>
          <w:szCs w:val="36"/>
          <w:bdr w:val="none" w:sz="0" w:space="0" w:color="auto" w:frame="1"/>
          <w:lang w:eastAsia="en-AU"/>
          <w14:ligatures w14:val="none"/>
        </w:rPr>
        <w:t>Transition Planning</w:t>
      </w:r>
    </w:p>
    <w:p w14:paraId="37EBD7BA" w14:textId="77777777" w:rsidR="00C90A94" w:rsidRPr="00C90A94" w:rsidRDefault="00C90A94" w:rsidP="00C90A9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Identify the situations that prompt transition planning, such as the patient feeling close to achieving their goals, a patient’s needs are best met by another service, the patient moving away, the patient no longer needing assistance and/or no progress made towards achieving goals.</w:t>
      </w:r>
    </w:p>
    <w:p w14:paraId="6DBFCBB7" w14:textId="77777777" w:rsidR="00C90A94" w:rsidRPr="00C90A94" w:rsidRDefault="00C90A94" w:rsidP="00C90A9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lastRenderedPageBreak/>
        <w:t>Ensure that transition planning is centred on the patient’s individual needs and circumstances and that the patient is an informed and influential participant.</w:t>
      </w:r>
    </w:p>
    <w:p w14:paraId="71F720D1" w14:textId="77777777" w:rsidR="00C90A94" w:rsidRPr="00C90A94" w:rsidRDefault="00C90A94" w:rsidP="00C90A9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Support the patient to engage in the planning and ensure that their concerns and feedback guide these decisions.</w:t>
      </w:r>
    </w:p>
    <w:p w14:paraId="30B2DD26" w14:textId="77777777" w:rsidR="00C90A94" w:rsidRPr="00C90A94" w:rsidRDefault="00C90A94" w:rsidP="00C90A9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Where appropriate, involve support people as identified by the patient.</w:t>
      </w:r>
    </w:p>
    <w:p w14:paraId="58DAD1F2" w14:textId="77777777" w:rsidR="00C90A94" w:rsidRPr="00C90A94" w:rsidRDefault="00C90A94" w:rsidP="00C90A9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Ensure that planning is flexible and includes contingencies.</w:t>
      </w:r>
    </w:p>
    <w:p w14:paraId="5DB51444" w14:textId="77777777" w:rsidR="00C90A94" w:rsidRPr="00C90A94" w:rsidRDefault="00C90A94" w:rsidP="00C90A9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Acknowledge the patient’s strengths and achievements.</w:t>
      </w:r>
    </w:p>
    <w:p w14:paraId="06D76F5D" w14:textId="77777777" w:rsidR="00C90A94" w:rsidRPr="00C90A94" w:rsidRDefault="00C90A94" w:rsidP="00C90A9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Ensure that the patient has the knowledge and skills for self-support and knows where to access local support if needed.</w:t>
      </w:r>
    </w:p>
    <w:p w14:paraId="11D80387" w14:textId="77777777" w:rsidR="00C90A94" w:rsidRPr="00C90A94" w:rsidRDefault="00C90A94" w:rsidP="00C90A9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Consider the patient’s safety and capacity for living independently and engaging with their community.</w:t>
      </w:r>
    </w:p>
    <w:p w14:paraId="270C031F" w14:textId="77777777" w:rsidR="00C90A94" w:rsidRPr="00C90A94" w:rsidRDefault="00C90A94" w:rsidP="00C90A9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Document a summary of supports and/or recommendations for the patient to refer to if needed.</w:t>
      </w:r>
    </w:p>
    <w:p w14:paraId="12E09521" w14:textId="77777777" w:rsidR="00C90A94" w:rsidRPr="00C90A94" w:rsidRDefault="00C90A94" w:rsidP="00C90A9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Offer patients the option of periodic contact with Health United following the transition.</w:t>
      </w:r>
    </w:p>
    <w:p w14:paraId="4CC5D6CC" w14:textId="77777777" w:rsidR="00C90A94" w:rsidRPr="00C90A94" w:rsidRDefault="00C90A94" w:rsidP="00C90A9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If the patient is transitioning to support from another service, the patient will decide which services they would like to access. With the patient’s consent, workers will provide only as much personal information as is required for the new service or program to provide support.</w:t>
      </w:r>
    </w:p>
    <w:p w14:paraId="2899371E" w14:textId="77777777" w:rsidR="00C90A94" w:rsidRDefault="00C90A94" w:rsidP="00C90A94">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CCE38B5" w14:textId="7E33E9B1" w:rsidR="00C90A94" w:rsidRPr="00C90A94" w:rsidRDefault="00C90A94" w:rsidP="00C90A94">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90A94">
        <w:rPr>
          <w:rFonts w:ascii="Montserrat" w:eastAsia="Times New Roman" w:hAnsi="Montserrat" w:cs="Times New Roman"/>
          <w:b/>
          <w:bCs/>
          <w:color w:val="FCB53B"/>
          <w:kern w:val="0"/>
          <w:sz w:val="36"/>
          <w:szCs w:val="36"/>
          <w:bdr w:val="none" w:sz="0" w:space="0" w:color="auto" w:frame="1"/>
          <w:lang w:eastAsia="en-AU"/>
          <w14:ligatures w14:val="none"/>
        </w:rPr>
        <w:t>Exit</w:t>
      </w:r>
    </w:p>
    <w:p w14:paraId="6E626778" w14:textId="77777777" w:rsidR="00C90A94" w:rsidRPr="00C90A94" w:rsidRDefault="00C90A94" w:rsidP="00C90A9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proofErr w:type="gramStart"/>
      <w:r w:rsidRPr="00C90A94">
        <w:rPr>
          <w:rFonts w:ascii="Montserrat" w:eastAsia="Times New Roman" w:hAnsi="Montserrat" w:cs="Times New Roman"/>
          <w:color w:val="5F646A"/>
          <w:kern w:val="0"/>
          <w:sz w:val="23"/>
          <w:szCs w:val="23"/>
          <w:lang w:eastAsia="en-AU"/>
          <w14:ligatures w14:val="none"/>
        </w:rPr>
        <w:t>Offer assistance</w:t>
      </w:r>
      <w:proofErr w:type="gramEnd"/>
      <w:r w:rsidRPr="00C90A94">
        <w:rPr>
          <w:rFonts w:ascii="Montserrat" w:eastAsia="Times New Roman" w:hAnsi="Montserrat" w:cs="Times New Roman"/>
          <w:color w:val="5F646A"/>
          <w:kern w:val="0"/>
          <w:sz w:val="23"/>
          <w:szCs w:val="23"/>
          <w:lang w:eastAsia="en-AU"/>
          <w14:ligatures w14:val="none"/>
        </w:rPr>
        <w:t xml:space="preserve"> with referral to another suitable service if a patient wishes to exit the program or service.</w:t>
      </w:r>
    </w:p>
    <w:p w14:paraId="50286020" w14:textId="77777777" w:rsidR="00C90A94" w:rsidRPr="00C90A94" w:rsidRDefault="00C90A94" w:rsidP="00C90A9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Uphold the patient’s right to refuse this offer.</w:t>
      </w:r>
    </w:p>
    <w:p w14:paraId="37FC9D71" w14:textId="77777777" w:rsidR="00C90A94" w:rsidRPr="00C90A94" w:rsidRDefault="00C90A94" w:rsidP="00C90A9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Document a plan to be followed in the event of a patient’s sudden exit from the service for some services and programs to facilitate patient safety and a smooth transition out of the service or program at short notice.</w:t>
      </w:r>
    </w:p>
    <w:p w14:paraId="7130CE84" w14:textId="77777777" w:rsidR="00C90A94" w:rsidRPr="00C90A94" w:rsidRDefault="00C90A94" w:rsidP="00C90A9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Attempt to contact the patient to assist them in re-engaging if they disengage without contact.</w:t>
      </w:r>
    </w:p>
    <w:p w14:paraId="786F8F51" w14:textId="77777777" w:rsidR="00C90A94" w:rsidRPr="00C90A94" w:rsidRDefault="00C90A94" w:rsidP="00C90A9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Note attempts to re-engage in the patient’s file.</w:t>
      </w:r>
    </w:p>
    <w:p w14:paraId="6ADA0FE2" w14:textId="77777777" w:rsidR="00C90A94" w:rsidRPr="00C90A94" w:rsidRDefault="00C90A94" w:rsidP="00C90A9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 xml:space="preserve">Send a letter to the patient acknowledging cessation of contact and confirm the opportunity to re-engage should they wish in </w:t>
      </w:r>
      <w:r w:rsidRPr="00C90A94">
        <w:rPr>
          <w:rFonts w:ascii="Montserrat" w:eastAsia="Times New Roman" w:hAnsi="Montserrat" w:cs="Times New Roman"/>
          <w:color w:val="5F646A"/>
          <w:kern w:val="0"/>
          <w:sz w:val="23"/>
          <w:szCs w:val="23"/>
          <w:lang w:eastAsia="en-AU"/>
          <w14:ligatures w14:val="none"/>
        </w:rPr>
        <w:lastRenderedPageBreak/>
        <w:t>circumstances where there are no concerns for the safety of the patient and/or their children.</w:t>
      </w:r>
    </w:p>
    <w:p w14:paraId="4AA03BE0" w14:textId="77777777" w:rsidR="00C90A94" w:rsidRPr="00C90A94" w:rsidRDefault="00C90A94" w:rsidP="00C90A9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Patients will not be required to undertake a second intake assessment if they choose to re-engage with the service or program within agreed timeframes.</w:t>
      </w:r>
    </w:p>
    <w:p w14:paraId="0025D413" w14:textId="77777777" w:rsidR="00C90A94" w:rsidRPr="00C90A94" w:rsidRDefault="00C90A94" w:rsidP="00C90A9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Identify what has changed in the interim and what is needed to make a difference this time, if necessary.</w:t>
      </w:r>
    </w:p>
    <w:p w14:paraId="46458C42" w14:textId="77777777" w:rsidR="00C90A94" w:rsidRPr="00C90A94" w:rsidRDefault="00C90A94" w:rsidP="00C90A9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Consult the Manager and obtain authorisation if it is reasonably foreseeable that the safety of other patients and workers could be threatened by a patient’s conduct, and appropriate precautions must be taken to meet the duty of care obligations.</w:t>
      </w:r>
    </w:p>
    <w:p w14:paraId="75229206" w14:textId="77777777" w:rsidR="00C90A94" w:rsidRPr="00C90A94" w:rsidRDefault="00C90A94" w:rsidP="00C90A9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Use the Mandatory Reporting Policy and Procedure to decide whether to report concerns to the Child Protection Helpline if a patient under 18 or a patient with children disengages in an unplanned manner and workers have concerns about the safety, welfare or wellbeing of the child or young person.</w:t>
      </w:r>
    </w:p>
    <w:p w14:paraId="4A48D46F" w14:textId="77777777" w:rsidR="00C90A94" w:rsidRPr="00C90A94" w:rsidRDefault="00C90A94" w:rsidP="00C90A9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Document all attempts to notify the patient that a report under mandatory reporting requirements will be made (or has been made) and all actions undertaken to attempt to re-engage with the patient and their children.</w:t>
      </w:r>
    </w:p>
    <w:p w14:paraId="670A81A9" w14:textId="77777777" w:rsidR="00C90A94" w:rsidRPr="00C90A94" w:rsidRDefault="00C90A94" w:rsidP="00C90A9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Advise the patient who has experienced family violence of the First Access duty of care to promote and maintain their safety and their children’s where applicable, during the period of Health United-based support.</w:t>
      </w:r>
    </w:p>
    <w:p w14:paraId="191D1A59" w14:textId="77777777" w:rsidR="00C90A94" w:rsidRPr="00C90A94" w:rsidRDefault="00C90A94" w:rsidP="00C90A9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Develop a personal safety plan that documents mechanisms for safe communication, the patient’s agreed-upon contact process and the worker’s actions if the patient disengages, if necessary.</w:t>
      </w:r>
    </w:p>
    <w:p w14:paraId="0A1CCEF5" w14:textId="77777777" w:rsidR="00C90A94" w:rsidRDefault="00C90A94" w:rsidP="00C90A94">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C8875AB" w14:textId="18E451A4" w:rsidR="00C90A94" w:rsidRPr="00C90A94" w:rsidRDefault="00C90A94" w:rsidP="00C90A94">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90A94">
        <w:rPr>
          <w:rFonts w:ascii="Montserrat" w:eastAsia="Times New Roman" w:hAnsi="Montserrat" w:cs="Times New Roman"/>
          <w:b/>
          <w:bCs/>
          <w:color w:val="FCB53B"/>
          <w:kern w:val="0"/>
          <w:sz w:val="36"/>
          <w:szCs w:val="36"/>
          <w:bdr w:val="none" w:sz="0" w:space="0" w:color="auto" w:frame="1"/>
          <w:lang w:eastAsia="en-AU"/>
          <w14:ligatures w14:val="none"/>
        </w:rPr>
        <w:t>Rules and Responsibilities of Management</w:t>
      </w:r>
    </w:p>
    <w:p w14:paraId="6A16D079" w14:textId="77777777" w:rsidR="00C90A94" w:rsidRPr="00C90A94" w:rsidRDefault="00C90A94" w:rsidP="00C90A94">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Develop and implement transitioning that is patient-centred and flexible, ensuring that patients can achieve their goals and receive appropriate support even after leaving the services or programs.</w:t>
      </w:r>
    </w:p>
    <w:p w14:paraId="0848AA5F" w14:textId="77777777" w:rsidR="00C90A94" w:rsidRPr="00C90A94" w:rsidRDefault="00C90A94" w:rsidP="00C90A94">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Ensure that transition planning is an integral part of the support provided and is connected to other planning processes for patients.</w:t>
      </w:r>
    </w:p>
    <w:p w14:paraId="66BCAE04" w14:textId="77777777" w:rsidR="00C90A94" w:rsidRPr="00C90A94" w:rsidRDefault="00C90A94" w:rsidP="00C90A94">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lastRenderedPageBreak/>
        <w:t>Prioritise the safety and capacity for patients to live independently and engage with their community in transitioning.</w:t>
      </w:r>
    </w:p>
    <w:p w14:paraId="6F6CAF6F" w14:textId="77777777" w:rsidR="00C90A94" w:rsidRPr="00C90A94" w:rsidRDefault="00C90A94" w:rsidP="00C90A94">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Ensure that appropriate precautions are taken to meet duty of care obligations if a patient is to be exited due to their conduct and consult with the Manager to provide authorisation for the exit.</w:t>
      </w:r>
    </w:p>
    <w:p w14:paraId="37932950" w14:textId="77777777" w:rsidR="00C90A94" w:rsidRPr="00C90A94" w:rsidRDefault="00C90A94" w:rsidP="00C90A94">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Ensure that the principles guiding Health United, such as patient empowerment, holistic and strengths-based, goal-oriented, dynamic and flexible, collaborative, culturally and socially safe, evidence-informed, and right to privacy and consent, are upheld in delivering effective, accessible, inclusive, and professional services.</w:t>
      </w:r>
    </w:p>
    <w:p w14:paraId="387CC09D" w14:textId="77777777" w:rsidR="00C90A94" w:rsidRDefault="00C90A94" w:rsidP="00C90A94">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3A4C2CC" w14:textId="0E3C4055" w:rsidR="00C90A94" w:rsidRPr="00C90A94" w:rsidRDefault="00C90A94" w:rsidP="00C90A94">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C90A94">
        <w:rPr>
          <w:rFonts w:ascii="Montserrat" w:eastAsia="Times New Roman" w:hAnsi="Montserrat" w:cs="Times New Roman"/>
          <w:b/>
          <w:bCs/>
          <w:color w:val="FCB53B"/>
          <w:kern w:val="0"/>
          <w:sz w:val="36"/>
          <w:szCs w:val="36"/>
          <w:bdr w:val="none" w:sz="0" w:space="0" w:color="auto" w:frame="1"/>
          <w:lang w:eastAsia="en-AU"/>
          <w14:ligatures w14:val="none"/>
        </w:rPr>
        <w:t>Rules and Responsibilities of Staff</w:t>
      </w:r>
    </w:p>
    <w:p w14:paraId="02D1D2B2" w14:textId="77777777" w:rsidR="00C90A94" w:rsidRPr="00C90A94" w:rsidRDefault="00C90A94" w:rsidP="00C90A9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Identify situations that prompt transition planning for patients, such as when they feel close to achieving their goals, when their needs are best met by another service, when they are moving away, when they no longer need assistance or when they have made no progress towards their goals.</w:t>
      </w:r>
    </w:p>
    <w:p w14:paraId="468CAE30" w14:textId="77777777" w:rsidR="00C90A94" w:rsidRPr="00C90A94" w:rsidRDefault="00C90A94" w:rsidP="00C90A9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Centre transition planning on the patient’s individual needs and circumstances and ensure that the patient is an informed and influential participant in the planning process.</w:t>
      </w:r>
    </w:p>
    <w:p w14:paraId="1E0331C5" w14:textId="77777777" w:rsidR="00C90A94" w:rsidRPr="00C90A94" w:rsidRDefault="00C90A94" w:rsidP="00C90A9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Support the patient’s engagement in the planning process and ensure that their concerns and feedback guide the decisions made.</w:t>
      </w:r>
    </w:p>
    <w:p w14:paraId="7B99243C" w14:textId="77777777" w:rsidR="00C90A94" w:rsidRPr="00C90A94" w:rsidRDefault="00C90A94" w:rsidP="00C90A9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Involve support people as identified by the patient, where appropriate.</w:t>
      </w:r>
    </w:p>
    <w:p w14:paraId="3D10118D" w14:textId="77777777" w:rsidR="00C90A94" w:rsidRPr="00C90A94" w:rsidRDefault="00C90A94" w:rsidP="00C90A9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Ensure that planning is flexible and includes contingencies to ensure a smooth and safe transition out of Health United’s services or programs.</w:t>
      </w:r>
    </w:p>
    <w:p w14:paraId="2C7E1C86" w14:textId="77777777" w:rsidR="00C90A94" w:rsidRPr="00C90A94" w:rsidRDefault="00C90A94" w:rsidP="00C90A9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Acknowledge the patient’s strengths and achievements.</w:t>
      </w:r>
    </w:p>
    <w:p w14:paraId="7D191366" w14:textId="77777777" w:rsidR="00C90A94" w:rsidRPr="00C90A94" w:rsidRDefault="00C90A94" w:rsidP="00C90A9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Ensure that the patient has the knowledge and skills for self-support and knows where to access local support if needed.</w:t>
      </w:r>
    </w:p>
    <w:p w14:paraId="460A1E46" w14:textId="77777777" w:rsidR="00C90A94" w:rsidRPr="00C90A94" w:rsidRDefault="00C90A94" w:rsidP="00C90A9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Consider the patient’s safety and capacity for living independently and engaging with their community in the transition planning process.</w:t>
      </w:r>
    </w:p>
    <w:p w14:paraId="0D3844C4" w14:textId="77777777" w:rsidR="00C90A94" w:rsidRPr="00C90A94" w:rsidRDefault="00C90A94" w:rsidP="00C90A9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Document a summary of supports and/or recommendations for the patient to refer to, if needed, and offer periodic contact with Health United following the transition.</w:t>
      </w:r>
    </w:p>
    <w:p w14:paraId="42B2C4CE" w14:textId="77777777" w:rsidR="00C90A94" w:rsidRPr="00C90A94" w:rsidRDefault="00C90A94" w:rsidP="00C90A9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proofErr w:type="gramStart"/>
      <w:r w:rsidRPr="00C90A94">
        <w:rPr>
          <w:rFonts w:ascii="Montserrat" w:eastAsia="Times New Roman" w:hAnsi="Montserrat" w:cs="Times New Roman"/>
          <w:color w:val="5F646A"/>
          <w:kern w:val="0"/>
          <w:sz w:val="23"/>
          <w:szCs w:val="23"/>
          <w:lang w:eastAsia="en-AU"/>
          <w14:ligatures w14:val="none"/>
        </w:rPr>
        <w:t>Offer assistance</w:t>
      </w:r>
      <w:proofErr w:type="gramEnd"/>
      <w:r w:rsidRPr="00C90A94">
        <w:rPr>
          <w:rFonts w:ascii="Montserrat" w:eastAsia="Times New Roman" w:hAnsi="Montserrat" w:cs="Times New Roman"/>
          <w:color w:val="5F646A"/>
          <w:kern w:val="0"/>
          <w:sz w:val="23"/>
          <w:szCs w:val="23"/>
          <w:lang w:eastAsia="en-AU"/>
          <w14:ligatures w14:val="none"/>
        </w:rPr>
        <w:t xml:space="preserve"> with referral to another suitable service if a patient wishes to exit Health United’s program or service before achieving their </w:t>
      </w:r>
      <w:r w:rsidRPr="00C90A94">
        <w:rPr>
          <w:rFonts w:ascii="Montserrat" w:eastAsia="Times New Roman" w:hAnsi="Montserrat" w:cs="Times New Roman"/>
          <w:color w:val="5F646A"/>
          <w:kern w:val="0"/>
          <w:sz w:val="23"/>
          <w:szCs w:val="23"/>
          <w:lang w:eastAsia="en-AU"/>
          <w14:ligatures w14:val="none"/>
        </w:rPr>
        <w:lastRenderedPageBreak/>
        <w:t>goals and transition planning, even if the worker feels ongoing support is required. Uphold the patient’s right to refuse this offer.</w:t>
      </w:r>
    </w:p>
    <w:p w14:paraId="5F34F61D" w14:textId="77777777" w:rsidR="00C90A94" w:rsidRPr="00C90A94" w:rsidRDefault="00C90A94" w:rsidP="00C90A9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Document a plan to be followed in the event of a patient’s sudden exit from the service for some services and programs to ensure their safety and a smooth transition out of the service at short notice.</w:t>
      </w:r>
    </w:p>
    <w:p w14:paraId="0DD2AA3A" w14:textId="77777777" w:rsidR="00C90A94" w:rsidRPr="00C90A94" w:rsidRDefault="00C90A94" w:rsidP="00C90A9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Make appropriate attempts to contact patients who disengage without contact to assist them in re-engaging and note all attempts to re-engage in the patient’s file.</w:t>
      </w:r>
    </w:p>
    <w:p w14:paraId="65D937ED" w14:textId="77777777" w:rsidR="00C90A94" w:rsidRPr="00C90A94" w:rsidRDefault="00C90A94" w:rsidP="00C90A9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Take appropriate precautions to meet duty of care obligations if a patient is to be exited due to their conduct, consulting with the Manager and obtaining authorisation for the exit.</w:t>
      </w:r>
    </w:p>
    <w:p w14:paraId="59437C87" w14:textId="77777777" w:rsidR="00C90A94" w:rsidRPr="00C90A94" w:rsidRDefault="00C90A94" w:rsidP="00C90A9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Use the Mandatory Reporting Policy and Procedure to decide whether to report concerns about the safety, welfare or wellbeing of a child or young person to the Child Protection Helpline if a patient aged under 18 or a patient with children disengages in an unplanned manner. If the outcome of the Mandatory Reporting Policy and Procedure requires an immediate report to the Child Protection Helpline, make the report and document all attempts to notify the patient of the report and all actions undertaken to attempt to re-engage with the patient and their children.</w:t>
      </w:r>
    </w:p>
    <w:p w14:paraId="0D0D236F" w14:textId="77777777" w:rsidR="00C90A94" w:rsidRPr="00C90A94" w:rsidRDefault="00C90A94" w:rsidP="00C90A9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Advise patients who have experienced family violence of Health United’s duty of care to promote and maintain their safety and that of their children during the period of our support. Develop a personal safety plan that documents mechanisms for safe communication, the patient’s agreed process for contact and actions to be taken by the worker if the patient disengages.</w:t>
      </w:r>
    </w:p>
    <w:p w14:paraId="4C150B60" w14:textId="77777777" w:rsidR="00C90A94" w:rsidRPr="00C90A94" w:rsidRDefault="00C90A94" w:rsidP="00C90A9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C90A94">
        <w:rPr>
          <w:rFonts w:ascii="Montserrat" w:eastAsia="Times New Roman" w:hAnsi="Montserrat" w:cs="Times New Roman"/>
          <w:color w:val="5F646A"/>
          <w:kern w:val="0"/>
          <w:sz w:val="23"/>
          <w:szCs w:val="23"/>
          <w:lang w:eastAsia="en-AU"/>
          <w14:ligatures w14:val="none"/>
        </w:rPr>
        <w:t>Overall, Health United staff must adhere to the principles of patient empowerment, holistic and strengths-based assessment and planning, goal-oriented planning, dynamic and flexible engagement, collaborative practice, culturally and socially safe practice, evidence-informed practice, and the right to privacy and consent.</w:t>
      </w:r>
    </w:p>
    <w:p w14:paraId="39CDBA47" w14:textId="77777777" w:rsidR="00C90A94" w:rsidRDefault="00C90A94"/>
    <w:sectPr w:rsidR="00C90A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A219A0"/>
    <w:multiLevelType w:val="multilevel"/>
    <w:tmpl w:val="6A6E8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CA3BB8"/>
    <w:multiLevelType w:val="multilevel"/>
    <w:tmpl w:val="9E5EE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EE62FBE"/>
    <w:multiLevelType w:val="multilevel"/>
    <w:tmpl w:val="A6E8A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26C3D10"/>
    <w:multiLevelType w:val="multilevel"/>
    <w:tmpl w:val="98F20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5084EC5"/>
    <w:multiLevelType w:val="multilevel"/>
    <w:tmpl w:val="5E544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FD75D1A"/>
    <w:multiLevelType w:val="multilevel"/>
    <w:tmpl w:val="EE90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50B090F"/>
    <w:multiLevelType w:val="multilevel"/>
    <w:tmpl w:val="7D4AE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67628165">
    <w:abstractNumId w:val="5"/>
  </w:num>
  <w:num w:numId="2" w16cid:durableId="1706058006">
    <w:abstractNumId w:val="0"/>
  </w:num>
  <w:num w:numId="3" w16cid:durableId="1928152609">
    <w:abstractNumId w:val="4"/>
  </w:num>
  <w:num w:numId="4" w16cid:durableId="890068700">
    <w:abstractNumId w:val="3"/>
  </w:num>
  <w:num w:numId="5" w16cid:durableId="560797034">
    <w:abstractNumId w:val="6"/>
  </w:num>
  <w:num w:numId="6" w16cid:durableId="547227159">
    <w:abstractNumId w:val="1"/>
  </w:num>
  <w:num w:numId="7" w16cid:durableId="2545572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A94"/>
    <w:rsid w:val="004061DC"/>
    <w:rsid w:val="00C90A9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D1376"/>
  <w15:chartTrackingRefBased/>
  <w15:docId w15:val="{43C6AB93-73AC-45E8-8D3A-1E7EB887B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A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0A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0A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0A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0A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0A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0A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0A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0A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A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0A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0A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0A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0A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0A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0A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0A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0A94"/>
    <w:rPr>
      <w:rFonts w:eastAsiaTheme="majorEastAsia" w:cstheme="majorBidi"/>
      <w:color w:val="272727" w:themeColor="text1" w:themeTint="D8"/>
    </w:rPr>
  </w:style>
  <w:style w:type="paragraph" w:styleId="Title">
    <w:name w:val="Title"/>
    <w:basedOn w:val="Normal"/>
    <w:next w:val="Normal"/>
    <w:link w:val="TitleChar"/>
    <w:uiPriority w:val="10"/>
    <w:qFormat/>
    <w:rsid w:val="00C90A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A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0A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0A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0A94"/>
    <w:pPr>
      <w:spacing w:before="160"/>
      <w:jc w:val="center"/>
    </w:pPr>
    <w:rPr>
      <w:i/>
      <w:iCs/>
      <w:color w:val="404040" w:themeColor="text1" w:themeTint="BF"/>
    </w:rPr>
  </w:style>
  <w:style w:type="character" w:customStyle="1" w:styleId="QuoteChar">
    <w:name w:val="Quote Char"/>
    <w:basedOn w:val="DefaultParagraphFont"/>
    <w:link w:val="Quote"/>
    <w:uiPriority w:val="29"/>
    <w:rsid w:val="00C90A94"/>
    <w:rPr>
      <w:i/>
      <w:iCs/>
      <w:color w:val="404040" w:themeColor="text1" w:themeTint="BF"/>
    </w:rPr>
  </w:style>
  <w:style w:type="paragraph" w:styleId="ListParagraph">
    <w:name w:val="List Paragraph"/>
    <w:basedOn w:val="Normal"/>
    <w:uiPriority w:val="34"/>
    <w:qFormat/>
    <w:rsid w:val="00C90A94"/>
    <w:pPr>
      <w:ind w:left="720"/>
      <w:contextualSpacing/>
    </w:pPr>
  </w:style>
  <w:style w:type="character" w:styleId="IntenseEmphasis">
    <w:name w:val="Intense Emphasis"/>
    <w:basedOn w:val="DefaultParagraphFont"/>
    <w:uiPriority w:val="21"/>
    <w:qFormat/>
    <w:rsid w:val="00C90A94"/>
    <w:rPr>
      <w:i/>
      <w:iCs/>
      <w:color w:val="0F4761" w:themeColor="accent1" w:themeShade="BF"/>
    </w:rPr>
  </w:style>
  <w:style w:type="paragraph" w:styleId="IntenseQuote">
    <w:name w:val="Intense Quote"/>
    <w:basedOn w:val="Normal"/>
    <w:next w:val="Normal"/>
    <w:link w:val="IntenseQuoteChar"/>
    <w:uiPriority w:val="30"/>
    <w:qFormat/>
    <w:rsid w:val="00C90A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0A94"/>
    <w:rPr>
      <w:i/>
      <w:iCs/>
      <w:color w:val="0F4761" w:themeColor="accent1" w:themeShade="BF"/>
    </w:rPr>
  </w:style>
  <w:style w:type="character" w:styleId="IntenseReference">
    <w:name w:val="Intense Reference"/>
    <w:basedOn w:val="DefaultParagraphFont"/>
    <w:uiPriority w:val="32"/>
    <w:qFormat/>
    <w:rsid w:val="00C90A9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213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5457286C-B6B3-4B0D-AF71-89174202E1C3}"/>
</file>

<file path=customXml/itemProps2.xml><?xml version="1.0" encoding="utf-8"?>
<ds:datastoreItem xmlns:ds="http://schemas.openxmlformats.org/officeDocument/2006/customXml" ds:itemID="{43327468-032A-41E0-93CA-77F0DD56950F}"/>
</file>

<file path=customXml/itemProps3.xml><?xml version="1.0" encoding="utf-8"?>
<ds:datastoreItem xmlns:ds="http://schemas.openxmlformats.org/officeDocument/2006/customXml" ds:itemID="{4EB08A01-2EDE-40A8-B0F3-083EC6505407}"/>
</file>

<file path=docProps/app.xml><?xml version="1.0" encoding="utf-8"?>
<Properties xmlns="http://schemas.openxmlformats.org/officeDocument/2006/extended-properties" xmlns:vt="http://schemas.openxmlformats.org/officeDocument/2006/docPropsVTypes">
  <Template>Normal</Template>
  <TotalTime>24</TotalTime>
  <Pages>8</Pages>
  <Words>2304</Words>
  <Characters>13135</Characters>
  <Application>Microsoft Office Word</Application>
  <DocSecurity>0</DocSecurity>
  <Lines>109</Lines>
  <Paragraphs>30</Paragraphs>
  <ScaleCrop>false</ScaleCrop>
  <Company/>
  <LinksUpToDate>false</LinksUpToDate>
  <CharactersWithSpaces>15409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2025-05-28T23:09:00Z</dcterms:created>
  <dcterms:modified xsi:type="dcterms:W3CDTF">2025-05-29T00:17:00Z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