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EDD82" w14:textId="77777777" w:rsidR="00E56D59" w:rsidRPr="00E56D59" w:rsidRDefault="00E56D59" w:rsidP="00E56D59">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E56D59">
        <w:rPr>
          <w:rFonts w:ascii="Montserrat" w:eastAsia="Times New Roman" w:hAnsi="Montserrat" w:cs="Times New Roman"/>
          <w:b/>
          <w:bCs/>
          <w:color w:val="006C91"/>
          <w:kern w:val="36"/>
          <w:sz w:val="51"/>
          <w:szCs w:val="51"/>
          <w:bdr w:val="none" w:sz="0" w:space="0" w:color="auto" w:frame="1"/>
          <w:lang w:eastAsia="en-AU"/>
          <w14:ligatures w14:val="none"/>
        </w:rPr>
        <w:t>Management of Risks and Hazards Policy and Procedure</w:t>
      </w:r>
    </w:p>
    <w:p w14:paraId="77B4AD7F" w14:textId="77777777" w:rsidR="00E56D59" w:rsidRPr="00E56D59" w:rsidRDefault="00E56D59" w:rsidP="00E56D59">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E56D59">
        <w:rPr>
          <w:rFonts w:ascii="Montserrat" w:eastAsia="Times New Roman" w:hAnsi="Montserrat" w:cs="Times New Roman"/>
          <w:b/>
          <w:bCs/>
          <w:color w:val="006C91"/>
          <w:kern w:val="36"/>
          <w:sz w:val="51"/>
          <w:szCs w:val="51"/>
          <w:bdr w:val="none" w:sz="0" w:space="0" w:color="auto" w:frame="1"/>
          <w:lang w:eastAsia="en-AU"/>
          <w14:ligatures w14:val="none"/>
        </w:rPr>
        <w:t>(HS1)</w:t>
      </w:r>
    </w:p>
    <w:p w14:paraId="7E788EE9"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970E934" w14:textId="59ADE009"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2BAF6AB3"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The purpose of the Management of Risks and Hazards Management Policy at Health United is to meet our duty of care requirements for all stakeholders by developing and supporting a service culture where risk assessments are routinely undertaken to minimise the risk of all Health United operations and ensure the safety of all.</w:t>
      </w:r>
    </w:p>
    <w:p w14:paraId="55989021"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39D23B5" w14:textId="720F7215"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t>Scope</w:t>
      </w:r>
    </w:p>
    <w:p w14:paraId="3E6F7F97"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This policy applies to residents, staff, management, medical professionals, volunteers and visitors of Health United.</w:t>
      </w:r>
    </w:p>
    <w:p w14:paraId="5ED5438B"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67E9D78" w14:textId="58DE2F9B"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526BE7B9"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Health United appreciates that the safety and wellbeing of everyone within our organisation are paramount to our core values and objectives. We also acknowledge that as far as reasonably practicable, we are responsible and accountable for the safety of all patients and anyone who is attending, visiting or providing services for, or on behalf of, Health Access. As managing risk is everyone’s responsibility, having the guidelines and ability to identify and manage risk increases everyone’s ability to make sound decisions.</w:t>
      </w:r>
    </w:p>
    <w:p w14:paraId="5EB01C45"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0A589F6" w14:textId="368D1D77"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39AA6F78"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The below reference to the legislation was current at the time of policy creation. Any person relying on this policy is advised to check for any amendments or updates to the legislation listed and follow only the most recent legislated guidelines.</w:t>
      </w:r>
    </w:p>
    <w:p w14:paraId="5A8324E9" w14:textId="77777777" w:rsidR="00E56D59" w:rsidRPr="00E56D59" w:rsidRDefault="00E56D59" w:rsidP="00E56D5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Public Administrations Act 2004</w:t>
      </w:r>
    </w:p>
    <w:p w14:paraId="742BE212" w14:textId="77777777" w:rsidR="00E56D59" w:rsidRPr="00E56D59" w:rsidRDefault="00E56D59" w:rsidP="00E56D5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Occupational Health and Safety Act 2004</w:t>
      </w:r>
    </w:p>
    <w:p w14:paraId="528CCE2A" w14:textId="77777777" w:rsidR="00E56D59" w:rsidRPr="00E56D59" w:rsidRDefault="00E56D59" w:rsidP="00E56D5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Occupational Health and Safety Regulations 2017</w:t>
      </w:r>
    </w:p>
    <w:p w14:paraId="7ECE0462" w14:textId="77777777" w:rsidR="00E56D59" w:rsidRPr="00E56D59" w:rsidRDefault="00E56D59" w:rsidP="00E56D5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Australian and New Zealand Standard Risk Management Principles and Guidelines AS/NZS ISO 310002009.</w:t>
      </w:r>
    </w:p>
    <w:p w14:paraId="26F86793"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08B2FB8" w14:textId="25396C31"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36B27319"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All decision-making about our Management of Risks and Hazards Procedure is carried out in accordance with the principles of our Management of Risks and Hazards Policy.</w:t>
      </w:r>
    </w:p>
    <w:p w14:paraId="76F643F8"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Health United identifies the following as areas of potential risks:</w:t>
      </w:r>
    </w:p>
    <w:p w14:paraId="609A82A5" w14:textId="77777777" w:rsidR="00E56D59" w:rsidRPr="00E56D59" w:rsidRDefault="00E56D59" w:rsidP="00E56D5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theft</w:t>
      </w:r>
    </w:p>
    <w:p w14:paraId="2292D008" w14:textId="77777777" w:rsidR="00E56D59" w:rsidRPr="00E56D59" w:rsidRDefault="00E56D59" w:rsidP="00E56D5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falling</w:t>
      </w:r>
    </w:p>
    <w:p w14:paraId="75437F72" w14:textId="77777777" w:rsidR="00E56D59" w:rsidRPr="00E56D59" w:rsidRDefault="00E56D59" w:rsidP="00E56D5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medication misuse</w:t>
      </w:r>
    </w:p>
    <w:p w14:paraId="397D2FA0" w14:textId="77777777" w:rsidR="00E56D59" w:rsidRPr="00E56D59" w:rsidRDefault="00E56D59" w:rsidP="00E56D5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not being treated correctly for medical issues</w:t>
      </w:r>
    </w:p>
    <w:p w14:paraId="1298E6AB" w14:textId="77777777" w:rsidR="00E56D59" w:rsidRPr="00E56D59" w:rsidRDefault="00E56D59" w:rsidP="00E56D5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aggression.</w:t>
      </w:r>
    </w:p>
    <w:p w14:paraId="0ED5E3EC"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At Health United, all risk assessments will:</w:t>
      </w:r>
    </w:p>
    <w:p w14:paraId="3E95983F" w14:textId="77777777" w:rsidR="00E56D59" w:rsidRPr="00E56D59" w:rsidRDefault="00E56D59" w:rsidP="00E56D5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outline the activity, location, participants and equipment</w:t>
      </w:r>
    </w:p>
    <w:p w14:paraId="0BFE759E" w14:textId="77777777" w:rsidR="00E56D59" w:rsidRPr="00E56D59" w:rsidRDefault="00E56D59" w:rsidP="00E56D5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identify potential hazards</w:t>
      </w:r>
    </w:p>
    <w:p w14:paraId="3BF2E1E0" w14:textId="77777777" w:rsidR="00E56D59" w:rsidRPr="00E56D59" w:rsidRDefault="00E56D59" w:rsidP="00E56D5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identify barriers to effective supervision</w:t>
      </w:r>
    </w:p>
    <w:p w14:paraId="6FD0200B" w14:textId="77777777" w:rsidR="00E56D59" w:rsidRPr="00E56D59" w:rsidRDefault="00E56D59" w:rsidP="00E56D5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record who is at risk of harm</w:t>
      </w:r>
    </w:p>
    <w:p w14:paraId="1E6A45C0" w14:textId="77777777" w:rsidR="00E56D59" w:rsidRPr="00E56D59" w:rsidRDefault="00E56D59" w:rsidP="00E56D5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identify the likelihood and severity of harm, including rating the risk outcome</w:t>
      </w:r>
    </w:p>
    <w:p w14:paraId="6E02A50C" w14:textId="77777777" w:rsidR="00E56D59" w:rsidRPr="00E56D59" w:rsidRDefault="00E56D59" w:rsidP="00E56D5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record control measures</w:t>
      </w:r>
    </w:p>
    <w:p w14:paraId="7682B671" w14:textId="77777777" w:rsidR="00E56D59" w:rsidRPr="00E56D59" w:rsidRDefault="00E56D59" w:rsidP="00E56D5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state any further action required</w:t>
      </w:r>
    </w:p>
    <w:p w14:paraId="0F9DFB46" w14:textId="77777777" w:rsidR="00E56D59" w:rsidRPr="00E56D59" w:rsidRDefault="00E56D59" w:rsidP="00E56D5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be given a risk score using the tables in the Management of Risks and Hazards Procedure.</w:t>
      </w:r>
    </w:p>
    <w:p w14:paraId="74E9357E"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ABD6766" w14:textId="22AA28BA"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273"/>
        <w:gridCol w:w="5918"/>
        <w:gridCol w:w="2391"/>
      </w:tblGrid>
      <w:tr w:rsidR="00E56D59" w:rsidRPr="00E56D59" w14:paraId="0E5A1402" w14:textId="77777777" w:rsidTr="00E56D59">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348C06"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EC7F1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D4AF69"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E56D59" w:rsidRPr="00E56D59" w14:paraId="1C01991E" w14:textId="77777777" w:rsidTr="00E56D59">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BE416E"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Hazard</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E0F55A"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 potential source of harm. Substances, events or circumstances can constitute hazards when their nature would allow them, even just theoretically, to cause damage to health, life, property or any other interest of value.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312FC0"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Wikipedia</w:t>
            </w:r>
          </w:p>
        </w:tc>
      </w:tr>
      <w:tr w:rsidR="00E56D59" w:rsidRPr="00E56D59" w14:paraId="2553D385" w14:textId="77777777" w:rsidTr="00E56D59">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5BC881"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Risk</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279D9B"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The probability of that harm being realised in a specific incident and the magnitude of potential harm make up its risk.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D62B9D"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Wikipedia</w:t>
            </w:r>
          </w:p>
        </w:tc>
      </w:tr>
    </w:tbl>
    <w:p w14:paraId="32DEA8C7"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6149AA3"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80A3A4F"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BE6529C" w14:textId="0F7D614B"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lastRenderedPageBreak/>
        <w:t>Links to Other Policies and Documents</w:t>
      </w:r>
    </w:p>
    <w:p w14:paraId="6DFBF479"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Administration of Medication Policy and Procedure</w:t>
      </w:r>
    </w:p>
    <w:p w14:paraId="75DEC2EF"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Medication Administration Log</w:t>
      </w:r>
    </w:p>
    <w:p w14:paraId="7DE94A20"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Incident, Injury, Trauma and Illness Policy and Procedure</w:t>
      </w:r>
    </w:p>
    <w:p w14:paraId="79CD9ED7"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Duty of Care Policy and Procedure</w:t>
      </w:r>
    </w:p>
    <w:p w14:paraId="605389A0"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Staff Health and Wellbeing Policy and Procedure</w:t>
      </w:r>
    </w:p>
    <w:p w14:paraId="7FD3B223"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Workplace Health and Safety Policy and Procedure</w:t>
      </w:r>
    </w:p>
    <w:p w14:paraId="7765E1F2"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Infection Control Policy and Procedure</w:t>
      </w:r>
    </w:p>
    <w:p w14:paraId="1A99FD39"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Hazard Report and Risk Assessment</w:t>
      </w:r>
    </w:p>
    <w:p w14:paraId="2094345F" w14:textId="77777777" w:rsidR="00E56D59" w:rsidRPr="00E56D59" w:rsidRDefault="00E56D59" w:rsidP="00E56D5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Serious Incident Report</w:t>
      </w:r>
    </w:p>
    <w:p w14:paraId="11D085C3"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0A9F0FB" w14:textId="1B6BCE28"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428ED088"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Management of Risks and Hazards Policy to enable staff to fulfil their roles effectively. In addition, Health United promotes information sharing at staff meetings, sharing information received from industry trends or changes in legislation and consultation at policy review sessions.</w:t>
      </w:r>
    </w:p>
    <w:p w14:paraId="5E3667B9"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BE2DB47" w14:textId="07A84A48"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86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755"/>
        <w:gridCol w:w="4648"/>
        <w:gridCol w:w="2463"/>
      </w:tblGrid>
      <w:tr w:rsidR="00E56D59" w:rsidRPr="00E56D59" w14:paraId="7E169F18" w14:textId="77777777" w:rsidTr="00E56D59">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0325E2"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D128F1"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1C7739"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E56D59" w:rsidRPr="00E56D59" w14:paraId="5AB8D7C8" w14:textId="77777777" w:rsidTr="00E56D59">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E2504F"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Implemented January 2024</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2FB27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DDD81D"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January 2025</w:t>
            </w:r>
          </w:p>
        </w:tc>
      </w:tr>
    </w:tbl>
    <w:p w14:paraId="7CB2E942"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03AE841" w14:textId="68360D8E"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6EECBBDC"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staff at scheduled meetings.</w:t>
      </w:r>
    </w:p>
    <w:p w14:paraId="2C4D6BCF"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0C3EF9E"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6BCDBAD"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5F719DB"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AEFD43F" w14:textId="0644517F"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lastRenderedPageBreak/>
        <w:t>Management of Risks and Hazards Procedure</w:t>
      </w:r>
    </w:p>
    <w:p w14:paraId="7FD2DCAE" w14:textId="77777777" w:rsid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DAE3759" w14:textId="73A79A2E" w:rsidR="00E56D59" w:rsidRP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E56D59">
        <w:rPr>
          <w:rFonts w:ascii="Montserrat" w:eastAsia="Times New Roman" w:hAnsi="Montserrat" w:cs="Times New Roman"/>
          <w:b/>
          <w:bCs/>
          <w:color w:val="FCB53B"/>
          <w:kern w:val="0"/>
          <w:sz w:val="36"/>
          <w:szCs w:val="36"/>
          <w:bdr w:val="none" w:sz="0" w:space="0" w:color="auto" w:frame="1"/>
          <w:lang w:eastAsia="en-AU"/>
          <w14:ligatures w14:val="none"/>
        </w:rPr>
        <w:t>Management will facilitate the following:</w:t>
      </w:r>
    </w:p>
    <w:p w14:paraId="0F8E2F98"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Ensure risk assessments are completed by delegation to key roles.</w:t>
      </w:r>
    </w:p>
    <w:p w14:paraId="5CC4A106"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Encourage a ‘speak up’ culture.</w:t>
      </w:r>
    </w:p>
    <w:p w14:paraId="7E6255F7"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Utilise risk assessments to maintain safety compliance requirements and manage risk.</w:t>
      </w:r>
    </w:p>
    <w:p w14:paraId="1D88EF6D"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Ensure ongoing training is provided to all key roles to maintain compliance with risk management.</w:t>
      </w:r>
    </w:p>
    <w:p w14:paraId="2955E478"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Provide all new staff with online training in risk management (at a minimum) and make them aware of the responsibility for identifying and managing risk.</w:t>
      </w:r>
    </w:p>
    <w:p w14:paraId="5F2A8817"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Provide staff with ongoing training on other areas of their work that could potentially cause risk, including but not limited to manual handling, lifting, use of equipment, nutrition and mental health awareness.</w:t>
      </w:r>
    </w:p>
    <w:p w14:paraId="7DB3B28B"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 xml:space="preserve">Create a generic set of risk management assessments (manual handling, noise, working at heights, general equipment </w:t>
      </w:r>
      <w:proofErr w:type="gramStart"/>
      <w:r w:rsidRPr="00E56D59">
        <w:rPr>
          <w:rFonts w:ascii="Montserrat" w:eastAsia="Times New Roman" w:hAnsi="Montserrat" w:cs="Times New Roman"/>
          <w:color w:val="5F646A"/>
          <w:kern w:val="0"/>
          <w:sz w:val="23"/>
          <w:szCs w:val="23"/>
          <w:lang w:eastAsia="en-AU"/>
          <w14:ligatures w14:val="none"/>
        </w:rPr>
        <w:t>use</w:t>
      </w:r>
      <w:proofErr w:type="gramEnd"/>
      <w:r w:rsidRPr="00E56D59">
        <w:rPr>
          <w:rFonts w:ascii="Montserrat" w:eastAsia="Times New Roman" w:hAnsi="Montserrat" w:cs="Times New Roman"/>
          <w:color w:val="5F646A"/>
          <w:kern w:val="0"/>
          <w:sz w:val="23"/>
          <w:szCs w:val="23"/>
          <w:lang w:eastAsia="en-AU"/>
          <w14:ligatures w14:val="none"/>
        </w:rPr>
        <w:t>, working alone/after hours, etc.) but advise all key roles that these should be treated with caution and used only as a starting point.</w:t>
      </w:r>
    </w:p>
    <w:p w14:paraId="71D576AE"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Ensure external providers are responsible for their own risk assessments and will not allow external work orders to commence without first sighting and approving the assessment.</w:t>
      </w:r>
    </w:p>
    <w:p w14:paraId="2536D88A"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Create a documented framework for managing risk using an ‘identify, detect and respond’ risk cycle.</w:t>
      </w:r>
    </w:p>
    <w:p w14:paraId="441DEC31" w14:textId="77777777" w:rsidR="00E56D59" w:rsidRPr="00E56D59" w:rsidRDefault="00E56D59" w:rsidP="00E56D5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Establish clear expectations for conduct and accountabilities for risk.</w:t>
      </w:r>
    </w:p>
    <w:p w14:paraId="70CDE641" w14:textId="77777777" w:rsid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AFAE745" w14:textId="5768F6B8" w:rsidR="00E56D59" w:rsidRP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E56D59">
        <w:rPr>
          <w:rFonts w:ascii="Montserrat" w:eastAsia="Times New Roman" w:hAnsi="Montserrat" w:cs="Times New Roman"/>
          <w:b/>
          <w:bCs/>
          <w:color w:val="FCB53B"/>
          <w:kern w:val="0"/>
          <w:sz w:val="36"/>
          <w:szCs w:val="36"/>
          <w:bdr w:val="none" w:sz="0" w:space="0" w:color="auto" w:frame="1"/>
          <w:lang w:eastAsia="en-AU"/>
          <w14:ligatures w14:val="none"/>
        </w:rPr>
        <w:t>Key roles will ensure the following:</w:t>
      </w:r>
    </w:p>
    <w:p w14:paraId="1687293F"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Comply with Health United’s Management of Risk and Safety Policy.</w:t>
      </w:r>
    </w:p>
    <w:p w14:paraId="5A460DEF"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Implement a documented framework for managing risk, using an ‘identify, detect and respond’ risk cycle.</w:t>
      </w:r>
    </w:p>
    <w:p w14:paraId="4C915E91"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Complete a risk assessment for any activity organised that falls under their area of control/management.</w:t>
      </w:r>
    </w:p>
    <w:p w14:paraId="7FE5CB38"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lastRenderedPageBreak/>
        <w:t>Encourage a ‘speak up’ culture.</w:t>
      </w:r>
    </w:p>
    <w:p w14:paraId="2DB22EC9"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Ensure that any risk identified is either removed or adequately reduced and fully controlled.</w:t>
      </w:r>
    </w:p>
    <w:p w14:paraId="27B9B036"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Assist in ongoing training and awareness of all staff they supervise in relation to risk management expectations.</w:t>
      </w:r>
    </w:p>
    <w:p w14:paraId="19A9BD45"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Maintain the risk assessment register and ensure it is always up-to-date and accessible.</w:t>
      </w:r>
    </w:p>
    <w:p w14:paraId="1FCEB5A4"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Review the register annually to ensure ongoing compliance related to any former risk identified through a risk assessment.</w:t>
      </w:r>
    </w:p>
    <w:p w14:paraId="581B298C"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Identify the types of equipment available and determine what equipment best suits both patients and staff.</w:t>
      </w:r>
    </w:p>
    <w:p w14:paraId="2515B8F3" w14:textId="77777777" w:rsidR="00E56D59" w:rsidRPr="00E56D59" w:rsidRDefault="00E56D59" w:rsidP="00E56D5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Understand that the level of risk may change daily, and a prepared risk assessment will need to be reviewed once the activity occurs. For example, changes in weather can alter the level of risk.</w:t>
      </w:r>
    </w:p>
    <w:p w14:paraId="7ED51B30" w14:textId="77777777" w:rsid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D651AFE" w14:textId="26073DA8" w:rsidR="00E56D59" w:rsidRP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E56D59">
        <w:rPr>
          <w:rFonts w:ascii="Montserrat" w:eastAsia="Times New Roman" w:hAnsi="Montserrat" w:cs="Times New Roman"/>
          <w:b/>
          <w:bCs/>
          <w:color w:val="FCB53B"/>
          <w:kern w:val="0"/>
          <w:sz w:val="36"/>
          <w:szCs w:val="36"/>
          <w:bdr w:val="none" w:sz="0" w:space="0" w:color="auto" w:frame="1"/>
          <w:lang w:eastAsia="en-AU"/>
          <w14:ligatures w14:val="none"/>
        </w:rPr>
        <w:t>All staff will ensure the following:</w:t>
      </w:r>
    </w:p>
    <w:p w14:paraId="3AC95E83" w14:textId="77777777" w:rsidR="00E56D59" w:rsidRPr="00E56D59" w:rsidRDefault="00E56D59" w:rsidP="00E56D5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Be responsible for their own safety and that of patients and visitors.</w:t>
      </w:r>
    </w:p>
    <w:p w14:paraId="5A3B9211" w14:textId="77777777" w:rsidR="00E56D59" w:rsidRPr="00E56D59" w:rsidRDefault="00E56D59" w:rsidP="00E56D5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Cooperate with management and key roles in minimising any identified risk as a matter of critical importance.</w:t>
      </w:r>
    </w:p>
    <w:p w14:paraId="3A5F8525" w14:textId="77777777" w:rsidR="00E56D59" w:rsidRPr="00E56D59" w:rsidRDefault="00E56D59" w:rsidP="00E56D5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Adopt a ‘speak up’ culture.</w:t>
      </w:r>
    </w:p>
    <w:p w14:paraId="7D83B6A7" w14:textId="77777777" w:rsidR="00E56D59" w:rsidRPr="00E56D59" w:rsidRDefault="00E56D59" w:rsidP="00E56D5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Follow an ‘identify, detect and respond’ risk cycle.</w:t>
      </w:r>
    </w:p>
    <w:p w14:paraId="4103192F" w14:textId="77777777" w:rsidR="00E56D59" w:rsidRPr="00E56D59" w:rsidRDefault="00E56D59" w:rsidP="00E56D5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Follow all safety systems implemented when a risk is identified.</w:t>
      </w:r>
    </w:p>
    <w:p w14:paraId="2EE9E4EF" w14:textId="77777777" w:rsidR="00E56D59" w:rsidRPr="00E56D59" w:rsidRDefault="00E56D59" w:rsidP="00E56D5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Report any observed potential risk or defect to their manager as soon as identified.</w:t>
      </w:r>
    </w:p>
    <w:p w14:paraId="5E007BE4" w14:textId="77777777" w:rsidR="00E56D59" w:rsidRPr="00E56D59" w:rsidRDefault="00E56D59" w:rsidP="00E56D5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Undertake manual handling training.</w:t>
      </w:r>
    </w:p>
    <w:p w14:paraId="539DB637" w14:textId="77777777" w:rsidR="00E56D59" w:rsidRPr="00E56D59" w:rsidRDefault="00E56D59" w:rsidP="00E56D5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Develop the skills to use manual handling equipment efficiently.</w:t>
      </w:r>
    </w:p>
    <w:p w14:paraId="7E059C49"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D27BED7"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FD43D11"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DC2A2B"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801EF75" w14:textId="77777777" w:rsid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4643465" w14:textId="404A934E" w:rsidR="00E56D59" w:rsidRPr="00E56D59" w:rsidRDefault="00E56D59" w:rsidP="00E56D5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56D59">
        <w:rPr>
          <w:rFonts w:ascii="Montserrat" w:eastAsia="Times New Roman" w:hAnsi="Montserrat" w:cs="Times New Roman"/>
          <w:b/>
          <w:bCs/>
          <w:color w:val="ED1E67"/>
          <w:kern w:val="0"/>
          <w:sz w:val="44"/>
          <w:szCs w:val="44"/>
          <w:bdr w:val="none" w:sz="0" w:space="0" w:color="auto" w:frame="1"/>
          <w:lang w:eastAsia="en-AU"/>
          <w14:ligatures w14:val="none"/>
        </w:rPr>
        <w:lastRenderedPageBreak/>
        <w:t>Determining a Risk Score and Risk Management Plan</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503"/>
        <w:gridCol w:w="1546"/>
        <w:gridCol w:w="573"/>
        <w:gridCol w:w="1061"/>
        <w:gridCol w:w="1062"/>
        <w:gridCol w:w="1359"/>
        <w:gridCol w:w="1062"/>
        <w:gridCol w:w="1473"/>
      </w:tblGrid>
      <w:tr w:rsidR="00E56D59" w:rsidRPr="00E56D59" w14:paraId="0B9A6501" w14:textId="77777777" w:rsidTr="00E56D59">
        <w:tc>
          <w:tcPr>
            <w:tcW w:w="350" w:type="pct"/>
            <w:vMerge w:val="restart"/>
            <w:tcBorders>
              <w:top w:val="outset" w:sz="6" w:space="0" w:color="auto"/>
              <w:left w:val="outset" w:sz="6" w:space="0" w:color="auto"/>
              <w:bottom w:val="outset" w:sz="6" w:space="0" w:color="auto"/>
              <w:right w:val="outset" w:sz="6" w:space="0" w:color="auto"/>
            </w:tcBorders>
            <w:shd w:val="clear" w:color="auto" w:fill="4682B4"/>
            <w:vAlign w:val="center"/>
            <w:hideMark/>
          </w:tcPr>
          <w:p w14:paraId="733AED6A"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Likelihood</w:t>
            </w:r>
          </w:p>
        </w:tc>
        <w:tc>
          <w:tcPr>
            <w:tcW w:w="4600" w:type="pct"/>
            <w:gridSpan w:val="7"/>
            <w:tcBorders>
              <w:top w:val="outset" w:sz="6" w:space="0" w:color="auto"/>
              <w:left w:val="outset" w:sz="6" w:space="0" w:color="auto"/>
              <w:bottom w:val="outset" w:sz="6" w:space="0" w:color="auto"/>
              <w:right w:val="outset" w:sz="6" w:space="0" w:color="auto"/>
            </w:tcBorders>
            <w:shd w:val="clear" w:color="auto" w:fill="4682B4"/>
            <w:vAlign w:val="center"/>
            <w:hideMark/>
          </w:tcPr>
          <w:p w14:paraId="36B2FCD6"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Severity</w:t>
            </w:r>
          </w:p>
        </w:tc>
      </w:tr>
      <w:tr w:rsidR="00E56D59" w:rsidRPr="00E56D59" w14:paraId="12E41346" w14:textId="77777777" w:rsidTr="00E56D59">
        <w:tc>
          <w:tcPr>
            <w:tcW w:w="0" w:type="auto"/>
            <w:vMerge/>
            <w:tcBorders>
              <w:top w:val="outset" w:sz="6" w:space="0" w:color="auto"/>
              <w:left w:val="outset" w:sz="6" w:space="0" w:color="auto"/>
              <w:bottom w:val="outset" w:sz="6" w:space="0" w:color="auto"/>
              <w:right w:val="outset" w:sz="6" w:space="0" w:color="auto"/>
            </w:tcBorders>
            <w:shd w:val="clear" w:color="auto" w:fill="FFDEAD"/>
            <w:vAlign w:val="center"/>
            <w:hideMark/>
          </w:tcPr>
          <w:p w14:paraId="3D2180E0"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1300" w:type="pct"/>
            <w:gridSpan w:val="2"/>
            <w:tcBorders>
              <w:top w:val="outset" w:sz="6" w:space="0" w:color="auto"/>
              <w:left w:val="outset" w:sz="6" w:space="0" w:color="auto"/>
              <w:bottom w:val="outset" w:sz="6" w:space="0" w:color="auto"/>
              <w:right w:val="outset" w:sz="6" w:space="0" w:color="auto"/>
            </w:tcBorders>
            <w:shd w:val="clear" w:color="auto" w:fill="FFDEAD"/>
            <w:vAlign w:val="center"/>
            <w:hideMark/>
          </w:tcPr>
          <w:p w14:paraId="4959DCFA"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650" w:type="pct"/>
            <w:tcBorders>
              <w:top w:val="outset" w:sz="6" w:space="0" w:color="auto"/>
              <w:left w:val="outset" w:sz="6" w:space="0" w:color="auto"/>
              <w:bottom w:val="outset" w:sz="6" w:space="0" w:color="auto"/>
              <w:right w:val="outset" w:sz="6" w:space="0" w:color="auto"/>
            </w:tcBorders>
            <w:shd w:val="clear" w:color="auto" w:fill="FFDEAD"/>
            <w:vAlign w:val="center"/>
            <w:hideMark/>
          </w:tcPr>
          <w:p w14:paraId="177F473A"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Trivial</w:t>
            </w:r>
          </w:p>
        </w:tc>
        <w:tc>
          <w:tcPr>
            <w:tcW w:w="650" w:type="pct"/>
            <w:tcBorders>
              <w:top w:val="outset" w:sz="6" w:space="0" w:color="auto"/>
              <w:left w:val="outset" w:sz="6" w:space="0" w:color="auto"/>
              <w:bottom w:val="outset" w:sz="6" w:space="0" w:color="auto"/>
              <w:right w:val="outset" w:sz="6" w:space="0" w:color="auto"/>
            </w:tcBorders>
            <w:shd w:val="clear" w:color="auto" w:fill="FFDEAD"/>
            <w:vAlign w:val="center"/>
            <w:hideMark/>
          </w:tcPr>
          <w:p w14:paraId="08DC3ED6"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Minor</w:t>
            </w:r>
          </w:p>
        </w:tc>
        <w:tc>
          <w:tcPr>
            <w:tcW w:w="650" w:type="pct"/>
            <w:tcBorders>
              <w:top w:val="outset" w:sz="6" w:space="0" w:color="auto"/>
              <w:left w:val="outset" w:sz="6" w:space="0" w:color="auto"/>
              <w:bottom w:val="outset" w:sz="6" w:space="0" w:color="auto"/>
              <w:right w:val="outset" w:sz="6" w:space="0" w:color="auto"/>
            </w:tcBorders>
            <w:shd w:val="clear" w:color="auto" w:fill="FFDEAD"/>
            <w:vAlign w:val="center"/>
            <w:hideMark/>
          </w:tcPr>
          <w:p w14:paraId="04634527"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Moderate</w:t>
            </w:r>
          </w:p>
        </w:tc>
        <w:tc>
          <w:tcPr>
            <w:tcW w:w="650" w:type="pct"/>
            <w:tcBorders>
              <w:top w:val="outset" w:sz="6" w:space="0" w:color="auto"/>
              <w:left w:val="outset" w:sz="6" w:space="0" w:color="auto"/>
              <w:bottom w:val="outset" w:sz="6" w:space="0" w:color="auto"/>
              <w:right w:val="outset" w:sz="6" w:space="0" w:color="auto"/>
            </w:tcBorders>
            <w:shd w:val="clear" w:color="auto" w:fill="FFDEAD"/>
            <w:vAlign w:val="center"/>
            <w:hideMark/>
          </w:tcPr>
          <w:p w14:paraId="6F609F7D"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Major</w:t>
            </w:r>
          </w:p>
        </w:tc>
        <w:tc>
          <w:tcPr>
            <w:tcW w:w="650" w:type="pct"/>
            <w:tcBorders>
              <w:top w:val="outset" w:sz="6" w:space="0" w:color="auto"/>
              <w:left w:val="outset" w:sz="6" w:space="0" w:color="auto"/>
              <w:bottom w:val="outset" w:sz="6" w:space="0" w:color="auto"/>
              <w:right w:val="outset" w:sz="6" w:space="0" w:color="auto"/>
            </w:tcBorders>
            <w:shd w:val="clear" w:color="auto" w:fill="FFDEAD"/>
            <w:vAlign w:val="center"/>
            <w:hideMark/>
          </w:tcPr>
          <w:p w14:paraId="68D372B2"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Significant</w:t>
            </w:r>
          </w:p>
        </w:tc>
      </w:tr>
      <w:tr w:rsidR="00E56D59" w:rsidRPr="00E56D59" w14:paraId="068B5FC0" w14:textId="77777777" w:rsidTr="00E56D59">
        <w:tc>
          <w:tcPr>
            <w:tcW w:w="0" w:type="auto"/>
            <w:vMerge/>
            <w:tcBorders>
              <w:top w:val="outset" w:sz="6" w:space="0" w:color="auto"/>
              <w:left w:val="outset" w:sz="6" w:space="0" w:color="auto"/>
              <w:bottom w:val="outset" w:sz="6" w:space="0" w:color="auto"/>
              <w:right w:val="outset" w:sz="6" w:space="0" w:color="auto"/>
            </w:tcBorders>
            <w:shd w:val="clear" w:color="auto" w:fill="FFF8DC"/>
            <w:vAlign w:val="center"/>
            <w:hideMark/>
          </w:tcPr>
          <w:p w14:paraId="52C41A87"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1300" w:type="pct"/>
            <w:gridSpan w:val="2"/>
            <w:tcBorders>
              <w:top w:val="outset" w:sz="6" w:space="0" w:color="auto"/>
              <w:left w:val="outset" w:sz="6" w:space="0" w:color="auto"/>
              <w:bottom w:val="outset" w:sz="6" w:space="0" w:color="auto"/>
              <w:right w:val="outset" w:sz="6" w:space="0" w:color="auto"/>
            </w:tcBorders>
            <w:shd w:val="clear" w:color="auto" w:fill="FFF8DC"/>
            <w:vAlign w:val="center"/>
            <w:hideMark/>
          </w:tcPr>
          <w:p w14:paraId="483A8C6D"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6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092A143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w:t>
            </w:r>
          </w:p>
        </w:tc>
        <w:tc>
          <w:tcPr>
            <w:tcW w:w="6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2E55EA3B"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2</w:t>
            </w:r>
          </w:p>
        </w:tc>
        <w:tc>
          <w:tcPr>
            <w:tcW w:w="6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31079D0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3</w:t>
            </w:r>
          </w:p>
        </w:tc>
        <w:tc>
          <w:tcPr>
            <w:tcW w:w="6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0C1F9C8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4</w:t>
            </w:r>
          </w:p>
        </w:tc>
        <w:tc>
          <w:tcPr>
            <w:tcW w:w="6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33C4234F"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5</w:t>
            </w:r>
          </w:p>
        </w:tc>
      </w:tr>
      <w:tr w:rsidR="00E56D59" w:rsidRPr="00E56D59" w14:paraId="68CCC19D" w14:textId="77777777" w:rsidTr="00E56D59">
        <w:tc>
          <w:tcPr>
            <w:tcW w:w="0" w:type="auto"/>
            <w:vMerge/>
            <w:tcBorders>
              <w:top w:val="outset" w:sz="6" w:space="0" w:color="auto"/>
              <w:left w:val="outset" w:sz="6" w:space="0" w:color="auto"/>
              <w:bottom w:val="outset" w:sz="6" w:space="0" w:color="auto"/>
              <w:right w:val="outset" w:sz="6" w:space="0" w:color="auto"/>
            </w:tcBorders>
            <w:shd w:val="clear" w:color="auto" w:fill="FFF8DC"/>
            <w:vAlign w:val="center"/>
            <w:hideMark/>
          </w:tcPr>
          <w:p w14:paraId="2BE4F842"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90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0A14B59A"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Rare</w:t>
            </w:r>
          </w:p>
        </w:tc>
        <w:tc>
          <w:tcPr>
            <w:tcW w:w="3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57877C3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w:t>
            </w:r>
          </w:p>
        </w:tc>
        <w:tc>
          <w:tcPr>
            <w:tcW w:w="650" w:type="pct"/>
            <w:tcBorders>
              <w:top w:val="outset" w:sz="6" w:space="0" w:color="auto"/>
              <w:left w:val="outset" w:sz="6" w:space="0" w:color="auto"/>
              <w:bottom w:val="outset" w:sz="6" w:space="0" w:color="auto"/>
              <w:right w:val="outset" w:sz="6" w:space="0" w:color="auto"/>
            </w:tcBorders>
            <w:shd w:val="clear" w:color="auto" w:fill="3CB371"/>
            <w:vAlign w:val="center"/>
            <w:hideMark/>
          </w:tcPr>
          <w:p w14:paraId="03B4DDFE"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w:t>
            </w:r>
          </w:p>
        </w:tc>
        <w:tc>
          <w:tcPr>
            <w:tcW w:w="650" w:type="pct"/>
            <w:tcBorders>
              <w:top w:val="outset" w:sz="6" w:space="0" w:color="auto"/>
              <w:left w:val="outset" w:sz="6" w:space="0" w:color="auto"/>
              <w:bottom w:val="outset" w:sz="6" w:space="0" w:color="auto"/>
              <w:right w:val="outset" w:sz="6" w:space="0" w:color="auto"/>
            </w:tcBorders>
            <w:shd w:val="clear" w:color="auto" w:fill="3CB371"/>
            <w:vAlign w:val="center"/>
            <w:hideMark/>
          </w:tcPr>
          <w:p w14:paraId="4CB4F97E"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2</w:t>
            </w:r>
          </w:p>
        </w:tc>
        <w:tc>
          <w:tcPr>
            <w:tcW w:w="650" w:type="pct"/>
            <w:tcBorders>
              <w:top w:val="outset" w:sz="6" w:space="0" w:color="auto"/>
              <w:left w:val="outset" w:sz="6" w:space="0" w:color="auto"/>
              <w:bottom w:val="outset" w:sz="6" w:space="0" w:color="auto"/>
              <w:right w:val="outset" w:sz="6" w:space="0" w:color="auto"/>
            </w:tcBorders>
            <w:shd w:val="clear" w:color="auto" w:fill="3CB371"/>
            <w:vAlign w:val="center"/>
            <w:hideMark/>
          </w:tcPr>
          <w:p w14:paraId="55D434A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3</w:t>
            </w:r>
          </w:p>
        </w:tc>
        <w:tc>
          <w:tcPr>
            <w:tcW w:w="650" w:type="pct"/>
            <w:tcBorders>
              <w:top w:val="outset" w:sz="6" w:space="0" w:color="auto"/>
              <w:left w:val="outset" w:sz="6" w:space="0" w:color="auto"/>
              <w:bottom w:val="outset" w:sz="6" w:space="0" w:color="auto"/>
              <w:right w:val="outset" w:sz="6" w:space="0" w:color="auto"/>
            </w:tcBorders>
            <w:shd w:val="clear" w:color="auto" w:fill="00BFFF"/>
            <w:vAlign w:val="center"/>
            <w:hideMark/>
          </w:tcPr>
          <w:p w14:paraId="48F501B9"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4</w:t>
            </w:r>
          </w:p>
        </w:tc>
        <w:tc>
          <w:tcPr>
            <w:tcW w:w="650" w:type="pct"/>
            <w:tcBorders>
              <w:top w:val="outset" w:sz="6" w:space="0" w:color="auto"/>
              <w:left w:val="outset" w:sz="6" w:space="0" w:color="auto"/>
              <w:bottom w:val="outset" w:sz="6" w:space="0" w:color="auto"/>
              <w:right w:val="outset" w:sz="6" w:space="0" w:color="auto"/>
            </w:tcBorders>
            <w:shd w:val="clear" w:color="auto" w:fill="00BFFF"/>
            <w:vAlign w:val="center"/>
            <w:hideMark/>
          </w:tcPr>
          <w:p w14:paraId="7A4FF73C"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5</w:t>
            </w:r>
          </w:p>
        </w:tc>
      </w:tr>
      <w:tr w:rsidR="00E56D59" w:rsidRPr="00E56D59" w14:paraId="67634FF1" w14:textId="77777777" w:rsidTr="00E56D59">
        <w:tc>
          <w:tcPr>
            <w:tcW w:w="0" w:type="auto"/>
            <w:vMerge/>
            <w:tcBorders>
              <w:top w:val="outset" w:sz="6" w:space="0" w:color="auto"/>
              <w:left w:val="outset" w:sz="6" w:space="0" w:color="auto"/>
              <w:bottom w:val="outset" w:sz="6" w:space="0" w:color="auto"/>
              <w:right w:val="outset" w:sz="6" w:space="0" w:color="auto"/>
            </w:tcBorders>
            <w:shd w:val="clear" w:color="auto" w:fill="FFF8DC"/>
            <w:vAlign w:val="center"/>
            <w:hideMark/>
          </w:tcPr>
          <w:p w14:paraId="122C97F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90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53CE1F0A"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Unlikely</w:t>
            </w:r>
          </w:p>
        </w:tc>
        <w:tc>
          <w:tcPr>
            <w:tcW w:w="3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2589B3B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2</w:t>
            </w:r>
          </w:p>
        </w:tc>
        <w:tc>
          <w:tcPr>
            <w:tcW w:w="650" w:type="pct"/>
            <w:tcBorders>
              <w:top w:val="outset" w:sz="6" w:space="0" w:color="auto"/>
              <w:left w:val="outset" w:sz="6" w:space="0" w:color="auto"/>
              <w:bottom w:val="outset" w:sz="6" w:space="0" w:color="auto"/>
              <w:right w:val="outset" w:sz="6" w:space="0" w:color="auto"/>
            </w:tcBorders>
            <w:shd w:val="clear" w:color="auto" w:fill="3CB371"/>
            <w:vAlign w:val="center"/>
            <w:hideMark/>
          </w:tcPr>
          <w:p w14:paraId="2EBFB78A"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2</w:t>
            </w:r>
          </w:p>
        </w:tc>
        <w:tc>
          <w:tcPr>
            <w:tcW w:w="650" w:type="pct"/>
            <w:tcBorders>
              <w:top w:val="outset" w:sz="6" w:space="0" w:color="auto"/>
              <w:left w:val="outset" w:sz="6" w:space="0" w:color="auto"/>
              <w:bottom w:val="outset" w:sz="6" w:space="0" w:color="auto"/>
              <w:right w:val="outset" w:sz="6" w:space="0" w:color="auto"/>
            </w:tcBorders>
            <w:shd w:val="clear" w:color="auto" w:fill="3CB371"/>
            <w:vAlign w:val="center"/>
            <w:hideMark/>
          </w:tcPr>
          <w:p w14:paraId="0BF0F6FD"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4</w:t>
            </w:r>
          </w:p>
        </w:tc>
        <w:tc>
          <w:tcPr>
            <w:tcW w:w="650" w:type="pct"/>
            <w:tcBorders>
              <w:top w:val="outset" w:sz="6" w:space="0" w:color="auto"/>
              <w:left w:val="outset" w:sz="6" w:space="0" w:color="auto"/>
              <w:bottom w:val="outset" w:sz="6" w:space="0" w:color="auto"/>
              <w:right w:val="outset" w:sz="6" w:space="0" w:color="auto"/>
            </w:tcBorders>
            <w:shd w:val="clear" w:color="auto" w:fill="00BFFF"/>
            <w:vAlign w:val="center"/>
            <w:hideMark/>
          </w:tcPr>
          <w:p w14:paraId="363FF0D2"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6</w:t>
            </w:r>
          </w:p>
        </w:tc>
        <w:tc>
          <w:tcPr>
            <w:tcW w:w="650" w:type="pct"/>
            <w:tcBorders>
              <w:top w:val="outset" w:sz="6" w:space="0" w:color="auto"/>
              <w:left w:val="outset" w:sz="6" w:space="0" w:color="auto"/>
              <w:bottom w:val="outset" w:sz="6" w:space="0" w:color="auto"/>
              <w:right w:val="outset" w:sz="6" w:space="0" w:color="auto"/>
            </w:tcBorders>
            <w:shd w:val="clear" w:color="auto" w:fill="FFA500"/>
            <w:vAlign w:val="center"/>
            <w:hideMark/>
          </w:tcPr>
          <w:p w14:paraId="4E0688DF"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8</w:t>
            </w:r>
          </w:p>
        </w:tc>
        <w:tc>
          <w:tcPr>
            <w:tcW w:w="650" w:type="pct"/>
            <w:tcBorders>
              <w:top w:val="outset" w:sz="6" w:space="0" w:color="auto"/>
              <w:left w:val="outset" w:sz="6" w:space="0" w:color="auto"/>
              <w:bottom w:val="outset" w:sz="6" w:space="0" w:color="auto"/>
              <w:right w:val="outset" w:sz="6" w:space="0" w:color="auto"/>
            </w:tcBorders>
            <w:shd w:val="clear" w:color="auto" w:fill="FFA500"/>
            <w:vAlign w:val="center"/>
            <w:hideMark/>
          </w:tcPr>
          <w:p w14:paraId="6BBDB20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10</w:t>
            </w:r>
          </w:p>
        </w:tc>
      </w:tr>
      <w:tr w:rsidR="00E56D59" w:rsidRPr="00E56D59" w14:paraId="39260179" w14:textId="77777777" w:rsidTr="00E56D59">
        <w:tc>
          <w:tcPr>
            <w:tcW w:w="0" w:type="auto"/>
            <w:vMerge/>
            <w:tcBorders>
              <w:top w:val="outset" w:sz="6" w:space="0" w:color="auto"/>
              <w:left w:val="outset" w:sz="6" w:space="0" w:color="auto"/>
              <w:bottom w:val="outset" w:sz="6" w:space="0" w:color="auto"/>
              <w:right w:val="outset" w:sz="6" w:space="0" w:color="auto"/>
            </w:tcBorders>
            <w:shd w:val="clear" w:color="auto" w:fill="FFF8DC"/>
            <w:vAlign w:val="center"/>
            <w:hideMark/>
          </w:tcPr>
          <w:p w14:paraId="67FEC091"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90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332E69B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Possible</w:t>
            </w:r>
          </w:p>
        </w:tc>
        <w:tc>
          <w:tcPr>
            <w:tcW w:w="3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169A9907"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3</w:t>
            </w:r>
          </w:p>
        </w:tc>
        <w:tc>
          <w:tcPr>
            <w:tcW w:w="650" w:type="pct"/>
            <w:tcBorders>
              <w:top w:val="outset" w:sz="6" w:space="0" w:color="auto"/>
              <w:left w:val="outset" w:sz="6" w:space="0" w:color="auto"/>
              <w:bottom w:val="outset" w:sz="6" w:space="0" w:color="auto"/>
              <w:right w:val="outset" w:sz="6" w:space="0" w:color="auto"/>
            </w:tcBorders>
            <w:shd w:val="clear" w:color="auto" w:fill="3CB371"/>
            <w:vAlign w:val="center"/>
            <w:hideMark/>
          </w:tcPr>
          <w:p w14:paraId="43ED6B92"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3</w:t>
            </w:r>
          </w:p>
        </w:tc>
        <w:tc>
          <w:tcPr>
            <w:tcW w:w="650" w:type="pct"/>
            <w:tcBorders>
              <w:top w:val="outset" w:sz="6" w:space="0" w:color="auto"/>
              <w:left w:val="outset" w:sz="6" w:space="0" w:color="auto"/>
              <w:bottom w:val="outset" w:sz="6" w:space="0" w:color="auto"/>
              <w:right w:val="outset" w:sz="6" w:space="0" w:color="auto"/>
            </w:tcBorders>
            <w:shd w:val="clear" w:color="auto" w:fill="00BFFF"/>
            <w:vAlign w:val="center"/>
            <w:hideMark/>
          </w:tcPr>
          <w:p w14:paraId="0644AB91"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6</w:t>
            </w:r>
          </w:p>
        </w:tc>
        <w:tc>
          <w:tcPr>
            <w:tcW w:w="650" w:type="pct"/>
            <w:tcBorders>
              <w:top w:val="outset" w:sz="6" w:space="0" w:color="auto"/>
              <w:left w:val="outset" w:sz="6" w:space="0" w:color="auto"/>
              <w:bottom w:val="outset" w:sz="6" w:space="0" w:color="auto"/>
              <w:right w:val="outset" w:sz="6" w:space="0" w:color="auto"/>
            </w:tcBorders>
            <w:shd w:val="clear" w:color="auto" w:fill="FFA500"/>
            <w:vAlign w:val="center"/>
            <w:hideMark/>
          </w:tcPr>
          <w:p w14:paraId="13767FE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9</w:t>
            </w:r>
          </w:p>
        </w:tc>
        <w:tc>
          <w:tcPr>
            <w:tcW w:w="650" w:type="pct"/>
            <w:tcBorders>
              <w:top w:val="outset" w:sz="6" w:space="0" w:color="auto"/>
              <w:left w:val="outset" w:sz="6" w:space="0" w:color="auto"/>
              <w:bottom w:val="outset" w:sz="6" w:space="0" w:color="auto"/>
              <w:right w:val="outset" w:sz="6" w:space="0" w:color="auto"/>
            </w:tcBorders>
            <w:shd w:val="clear" w:color="auto" w:fill="FFA500"/>
            <w:vAlign w:val="center"/>
            <w:hideMark/>
          </w:tcPr>
          <w:p w14:paraId="441519BB"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12</w:t>
            </w:r>
          </w:p>
        </w:tc>
        <w:tc>
          <w:tcPr>
            <w:tcW w:w="650" w:type="pct"/>
            <w:tcBorders>
              <w:top w:val="outset" w:sz="6" w:space="0" w:color="auto"/>
              <w:left w:val="outset" w:sz="6" w:space="0" w:color="auto"/>
              <w:bottom w:val="outset" w:sz="6" w:space="0" w:color="auto"/>
              <w:right w:val="outset" w:sz="6" w:space="0" w:color="auto"/>
            </w:tcBorders>
            <w:shd w:val="clear" w:color="auto" w:fill="CD5C5C"/>
            <w:vAlign w:val="center"/>
            <w:hideMark/>
          </w:tcPr>
          <w:p w14:paraId="7888F4D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15</w:t>
            </w:r>
          </w:p>
        </w:tc>
      </w:tr>
      <w:tr w:rsidR="00E56D59" w:rsidRPr="00E56D59" w14:paraId="45887D47" w14:textId="77777777" w:rsidTr="00E56D59">
        <w:tc>
          <w:tcPr>
            <w:tcW w:w="0" w:type="auto"/>
            <w:vMerge/>
            <w:tcBorders>
              <w:top w:val="outset" w:sz="6" w:space="0" w:color="auto"/>
              <w:left w:val="outset" w:sz="6" w:space="0" w:color="auto"/>
              <w:bottom w:val="outset" w:sz="6" w:space="0" w:color="auto"/>
              <w:right w:val="outset" w:sz="6" w:space="0" w:color="auto"/>
            </w:tcBorders>
            <w:shd w:val="clear" w:color="auto" w:fill="FFF8DC"/>
            <w:vAlign w:val="center"/>
            <w:hideMark/>
          </w:tcPr>
          <w:p w14:paraId="0213544E"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90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3A95E38B"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Likely</w:t>
            </w:r>
          </w:p>
        </w:tc>
        <w:tc>
          <w:tcPr>
            <w:tcW w:w="3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23470F9C"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4</w:t>
            </w:r>
          </w:p>
        </w:tc>
        <w:tc>
          <w:tcPr>
            <w:tcW w:w="650" w:type="pct"/>
            <w:tcBorders>
              <w:top w:val="outset" w:sz="6" w:space="0" w:color="auto"/>
              <w:left w:val="outset" w:sz="6" w:space="0" w:color="auto"/>
              <w:bottom w:val="outset" w:sz="6" w:space="0" w:color="auto"/>
              <w:right w:val="outset" w:sz="6" w:space="0" w:color="auto"/>
            </w:tcBorders>
            <w:shd w:val="clear" w:color="auto" w:fill="00BFFF"/>
            <w:vAlign w:val="center"/>
            <w:hideMark/>
          </w:tcPr>
          <w:p w14:paraId="782EA26B"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4</w:t>
            </w:r>
          </w:p>
        </w:tc>
        <w:tc>
          <w:tcPr>
            <w:tcW w:w="650" w:type="pct"/>
            <w:tcBorders>
              <w:top w:val="outset" w:sz="6" w:space="0" w:color="auto"/>
              <w:left w:val="outset" w:sz="6" w:space="0" w:color="auto"/>
              <w:bottom w:val="outset" w:sz="6" w:space="0" w:color="auto"/>
              <w:right w:val="outset" w:sz="6" w:space="0" w:color="auto"/>
            </w:tcBorders>
            <w:shd w:val="clear" w:color="auto" w:fill="FFA500"/>
            <w:vAlign w:val="center"/>
            <w:hideMark/>
          </w:tcPr>
          <w:p w14:paraId="3019DF67"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8</w:t>
            </w:r>
          </w:p>
        </w:tc>
        <w:tc>
          <w:tcPr>
            <w:tcW w:w="650" w:type="pct"/>
            <w:tcBorders>
              <w:top w:val="outset" w:sz="6" w:space="0" w:color="auto"/>
              <w:left w:val="outset" w:sz="6" w:space="0" w:color="auto"/>
              <w:bottom w:val="outset" w:sz="6" w:space="0" w:color="auto"/>
              <w:right w:val="outset" w:sz="6" w:space="0" w:color="auto"/>
            </w:tcBorders>
            <w:shd w:val="clear" w:color="auto" w:fill="FFA500"/>
            <w:vAlign w:val="center"/>
            <w:hideMark/>
          </w:tcPr>
          <w:p w14:paraId="6B9C480F"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12</w:t>
            </w:r>
          </w:p>
        </w:tc>
        <w:tc>
          <w:tcPr>
            <w:tcW w:w="650" w:type="pct"/>
            <w:tcBorders>
              <w:top w:val="outset" w:sz="6" w:space="0" w:color="auto"/>
              <w:left w:val="outset" w:sz="6" w:space="0" w:color="auto"/>
              <w:bottom w:val="outset" w:sz="6" w:space="0" w:color="auto"/>
              <w:right w:val="outset" w:sz="6" w:space="0" w:color="auto"/>
            </w:tcBorders>
            <w:shd w:val="clear" w:color="auto" w:fill="CD5C5C"/>
            <w:vAlign w:val="center"/>
            <w:hideMark/>
          </w:tcPr>
          <w:p w14:paraId="658558E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16</w:t>
            </w:r>
          </w:p>
        </w:tc>
        <w:tc>
          <w:tcPr>
            <w:tcW w:w="650" w:type="pct"/>
            <w:tcBorders>
              <w:top w:val="outset" w:sz="6" w:space="0" w:color="auto"/>
              <w:left w:val="outset" w:sz="6" w:space="0" w:color="auto"/>
              <w:bottom w:val="outset" w:sz="6" w:space="0" w:color="auto"/>
              <w:right w:val="outset" w:sz="6" w:space="0" w:color="auto"/>
            </w:tcBorders>
            <w:shd w:val="clear" w:color="auto" w:fill="CD5C5C"/>
            <w:vAlign w:val="center"/>
            <w:hideMark/>
          </w:tcPr>
          <w:p w14:paraId="47AFFCF7"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20</w:t>
            </w:r>
          </w:p>
        </w:tc>
      </w:tr>
      <w:tr w:rsidR="00E56D59" w:rsidRPr="00E56D59" w14:paraId="24879011" w14:textId="77777777" w:rsidTr="00E56D59">
        <w:tc>
          <w:tcPr>
            <w:tcW w:w="0" w:type="auto"/>
            <w:vMerge/>
            <w:tcBorders>
              <w:top w:val="outset" w:sz="6" w:space="0" w:color="auto"/>
              <w:left w:val="outset" w:sz="6" w:space="0" w:color="auto"/>
              <w:bottom w:val="outset" w:sz="6" w:space="0" w:color="auto"/>
              <w:right w:val="outset" w:sz="6" w:space="0" w:color="auto"/>
            </w:tcBorders>
            <w:shd w:val="clear" w:color="auto" w:fill="FFF8DC"/>
            <w:vAlign w:val="center"/>
            <w:hideMark/>
          </w:tcPr>
          <w:p w14:paraId="203AD5B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90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0C2503C1"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Certain</w:t>
            </w:r>
          </w:p>
        </w:tc>
        <w:tc>
          <w:tcPr>
            <w:tcW w:w="350" w:type="pct"/>
            <w:tcBorders>
              <w:top w:val="outset" w:sz="6" w:space="0" w:color="auto"/>
              <w:left w:val="outset" w:sz="6" w:space="0" w:color="auto"/>
              <w:bottom w:val="outset" w:sz="6" w:space="0" w:color="auto"/>
              <w:right w:val="outset" w:sz="6" w:space="0" w:color="auto"/>
            </w:tcBorders>
            <w:shd w:val="clear" w:color="auto" w:fill="FFF8DC"/>
            <w:vAlign w:val="center"/>
            <w:hideMark/>
          </w:tcPr>
          <w:p w14:paraId="030DC0C9"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5</w:t>
            </w:r>
          </w:p>
        </w:tc>
        <w:tc>
          <w:tcPr>
            <w:tcW w:w="650" w:type="pct"/>
            <w:tcBorders>
              <w:top w:val="outset" w:sz="6" w:space="0" w:color="auto"/>
              <w:left w:val="outset" w:sz="6" w:space="0" w:color="auto"/>
              <w:bottom w:val="outset" w:sz="6" w:space="0" w:color="auto"/>
              <w:right w:val="outset" w:sz="6" w:space="0" w:color="auto"/>
            </w:tcBorders>
            <w:shd w:val="clear" w:color="auto" w:fill="00BFFF"/>
            <w:vAlign w:val="center"/>
            <w:hideMark/>
          </w:tcPr>
          <w:p w14:paraId="41A97EF0"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5</w:t>
            </w:r>
          </w:p>
        </w:tc>
        <w:tc>
          <w:tcPr>
            <w:tcW w:w="650" w:type="pct"/>
            <w:tcBorders>
              <w:top w:val="outset" w:sz="6" w:space="0" w:color="auto"/>
              <w:left w:val="outset" w:sz="6" w:space="0" w:color="auto"/>
              <w:bottom w:val="outset" w:sz="6" w:space="0" w:color="auto"/>
              <w:right w:val="outset" w:sz="6" w:space="0" w:color="auto"/>
            </w:tcBorders>
            <w:shd w:val="clear" w:color="auto" w:fill="FFA500"/>
            <w:vAlign w:val="center"/>
            <w:hideMark/>
          </w:tcPr>
          <w:p w14:paraId="1E77A591"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10</w:t>
            </w:r>
          </w:p>
        </w:tc>
        <w:tc>
          <w:tcPr>
            <w:tcW w:w="650" w:type="pct"/>
            <w:tcBorders>
              <w:top w:val="outset" w:sz="6" w:space="0" w:color="auto"/>
              <w:left w:val="outset" w:sz="6" w:space="0" w:color="auto"/>
              <w:bottom w:val="outset" w:sz="6" w:space="0" w:color="auto"/>
              <w:right w:val="outset" w:sz="6" w:space="0" w:color="auto"/>
            </w:tcBorders>
            <w:shd w:val="clear" w:color="auto" w:fill="CD5C5C"/>
            <w:vAlign w:val="center"/>
            <w:hideMark/>
          </w:tcPr>
          <w:p w14:paraId="6F177720"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15</w:t>
            </w:r>
          </w:p>
        </w:tc>
        <w:tc>
          <w:tcPr>
            <w:tcW w:w="650" w:type="pct"/>
            <w:tcBorders>
              <w:top w:val="outset" w:sz="6" w:space="0" w:color="auto"/>
              <w:left w:val="outset" w:sz="6" w:space="0" w:color="auto"/>
              <w:bottom w:val="outset" w:sz="6" w:space="0" w:color="auto"/>
              <w:right w:val="outset" w:sz="6" w:space="0" w:color="auto"/>
            </w:tcBorders>
            <w:shd w:val="clear" w:color="auto" w:fill="CD5C5C"/>
            <w:vAlign w:val="center"/>
            <w:hideMark/>
          </w:tcPr>
          <w:p w14:paraId="7242037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20</w:t>
            </w:r>
          </w:p>
        </w:tc>
        <w:tc>
          <w:tcPr>
            <w:tcW w:w="650" w:type="pct"/>
            <w:tcBorders>
              <w:top w:val="outset" w:sz="6" w:space="0" w:color="auto"/>
              <w:left w:val="outset" w:sz="6" w:space="0" w:color="auto"/>
              <w:bottom w:val="outset" w:sz="6" w:space="0" w:color="auto"/>
              <w:right w:val="outset" w:sz="6" w:space="0" w:color="auto"/>
            </w:tcBorders>
            <w:shd w:val="clear" w:color="auto" w:fill="CD5C5C"/>
            <w:vAlign w:val="center"/>
            <w:hideMark/>
          </w:tcPr>
          <w:p w14:paraId="698B6AA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000000"/>
                <w:kern w:val="0"/>
                <w:sz w:val="23"/>
                <w:szCs w:val="23"/>
                <w:bdr w:val="none" w:sz="0" w:space="0" w:color="auto" w:frame="1"/>
                <w:lang w:eastAsia="en-AU"/>
                <w14:ligatures w14:val="none"/>
              </w:rPr>
              <w:t>25</w:t>
            </w:r>
          </w:p>
        </w:tc>
      </w:tr>
    </w:tbl>
    <w:p w14:paraId="77A89EB8" w14:textId="77777777" w:rsid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FAE9844" w14:textId="4D4BFFFE" w:rsidR="00E56D59" w:rsidRP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E56D59">
        <w:rPr>
          <w:rFonts w:ascii="Montserrat" w:eastAsia="Times New Roman" w:hAnsi="Montserrat" w:cs="Times New Roman"/>
          <w:b/>
          <w:bCs/>
          <w:color w:val="FCB53B"/>
          <w:kern w:val="0"/>
          <w:sz w:val="36"/>
          <w:szCs w:val="36"/>
          <w:bdr w:val="none" w:sz="0" w:space="0" w:color="auto" w:frame="1"/>
          <w:lang w:eastAsia="en-AU"/>
          <w14:ligatures w14:val="none"/>
        </w:rPr>
        <w:t>Assess the Likelihood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813"/>
        <w:gridCol w:w="1030"/>
        <w:gridCol w:w="6796"/>
      </w:tblGrid>
      <w:tr w:rsidR="00E56D59" w:rsidRPr="00E56D59" w14:paraId="728AF05C" w14:textId="77777777" w:rsidTr="00E56D59">
        <w:trPr>
          <w:trHeight w:val="765"/>
        </w:trPr>
        <w:tc>
          <w:tcPr>
            <w:tcW w:w="2217" w:type="dxa"/>
            <w:tcBorders>
              <w:top w:val="outset" w:sz="6" w:space="0" w:color="auto"/>
              <w:left w:val="outset" w:sz="6" w:space="0" w:color="auto"/>
              <w:bottom w:val="outset" w:sz="6" w:space="0" w:color="auto"/>
              <w:right w:val="outset" w:sz="6" w:space="0" w:color="auto"/>
            </w:tcBorders>
            <w:shd w:val="clear" w:color="auto" w:fill="4682B4"/>
            <w:vAlign w:val="center"/>
            <w:hideMark/>
          </w:tcPr>
          <w:p w14:paraId="68145C77"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Likelihood</w:t>
            </w:r>
          </w:p>
        </w:tc>
        <w:tc>
          <w:tcPr>
            <w:tcW w:w="1176" w:type="dxa"/>
            <w:tcBorders>
              <w:top w:val="outset" w:sz="6" w:space="0" w:color="auto"/>
              <w:left w:val="outset" w:sz="6" w:space="0" w:color="auto"/>
              <w:bottom w:val="outset" w:sz="6" w:space="0" w:color="auto"/>
              <w:right w:val="outset" w:sz="6" w:space="0" w:color="auto"/>
            </w:tcBorders>
            <w:shd w:val="clear" w:color="auto" w:fill="4682B4"/>
            <w:vAlign w:val="center"/>
            <w:hideMark/>
          </w:tcPr>
          <w:p w14:paraId="702C337E"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Score</w:t>
            </w:r>
          </w:p>
        </w:tc>
        <w:tc>
          <w:tcPr>
            <w:tcW w:w="13467" w:type="dxa"/>
            <w:tcBorders>
              <w:top w:val="outset" w:sz="6" w:space="0" w:color="auto"/>
              <w:left w:val="outset" w:sz="6" w:space="0" w:color="auto"/>
              <w:bottom w:val="outset" w:sz="6" w:space="0" w:color="auto"/>
              <w:right w:val="outset" w:sz="6" w:space="0" w:color="auto"/>
            </w:tcBorders>
            <w:shd w:val="clear" w:color="auto" w:fill="4682B4"/>
            <w:vAlign w:val="center"/>
            <w:hideMark/>
          </w:tcPr>
          <w:p w14:paraId="6AC0690C"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Meaning</w:t>
            </w:r>
          </w:p>
        </w:tc>
      </w:tr>
      <w:tr w:rsidR="00E56D59" w:rsidRPr="00E56D59" w14:paraId="7773D349" w14:textId="77777777" w:rsidTr="00E56D59">
        <w:trPr>
          <w:trHeight w:val="765"/>
        </w:trPr>
        <w:tc>
          <w:tcPr>
            <w:tcW w:w="221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5733F50D"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Rare</w:t>
            </w:r>
          </w:p>
        </w:tc>
        <w:tc>
          <w:tcPr>
            <w:tcW w:w="1176"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7F4CE8D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1</w:t>
            </w:r>
          </w:p>
        </w:tc>
        <w:tc>
          <w:tcPr>
            <w:tcW w:w="134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8D2FE9"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The likelihood of this happening is probably never or extremely rare</w:t>
            </w:r>
          </w:p>
        </w:tc>
      </w:tr>
      <w:tr w:rsidR="00E56D59" w:rsidRPr="00E56D59" w14:paraId="7877D60C" w14:textId="77777777" w:rsidTr="00E56D59">
        <w:trPr>
          <w:trHeight w:val="765"/>
        </w:trPr>
        <w:tc>
          <w:tcPr>
            <w:tcW w:w="221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317D88F6"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Unlikely</w:t>
            </w:r>
          </w:p>
        </w:tc>
        <w:tc>
          <w:tcPr>
            <w:tcW w:w="1176"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37FC1F82"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2</w:t>
            </w:r>
          </w:p>
        </w:tc>
        <w:tc>
          <w:tcPr>
            <w:tcW w:w="134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51856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Although you shouldn’t expect it to happen, it is always possible it may.</w:t>
            </w:r>
          </w:p>
        </w:tc>
      </w:tr>
      <w:tr w:rsidR="00E56D59" w:rsidRPr="00E56D59" w14:paraId="5BA9250A" w14:textId="77777777" w:rsidTr="00E56D59">
        <w:trPr>
          <w:trHeight w:val="765"/>
        </w:trPr>
        <w:tc>
          <w:tcPr>
            <w:tcW w:w="221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285B807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Possible</w:t>
            </w:r>
          </w:p>
        </w:tc>
        <w:tc>
          <w:tcPr>
            <w:tcW w:w="1176"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595B7971"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3</w:t>
            </w:r>
          </w:p>
        </w:tc>
        <w:tc>
          <w:tcPr>
            <w:tcW w:w="134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4ED0B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There is the possibility this could reoccur or happen occasionally.</w:t>
            </w:r>
          </w:p>
        </w:tc>
      </w:tr>
      <w:tr w:rsidR="00E56D59" w:rsidRPr="00E56D59" w14:paraId="2BF0E198" w14:textId="77777777" w:rsidTr="00E56D59">
        <w:trPr>
          <w:trHeight w:val="765"/>
        </w:trPr>
        <w:tc>
          <w:tcPr>
            <w:tcW w:w="221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02FECB7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Likely</w:t>
            </w:r>
          </w:p>
        </w:tc>
        <w:tc>
          <w:tcPr>
            <w:tcW w:w="1176"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03CFB3F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4</w:t>
            </w:r>
          </w:p>
        </w:tc>
        <w:tc>
          <w:tcPr>
            <w:tcW w:w="134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373B7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It will more than likely happen or reoccur but not a persisting issue.</w:t>
            </w:r>
          </w:p>
        </w:tc>
      </w:tr>
      <w:tr w:rsidR="00E56D59" w:rsidRPr="00E56D59" w14:paraId="476F75B1" w14:textId="77777777" w:rsidTr="00E56D59">
        <w:trPr>
          <w:trHeight w:val="765"/>
        </w:trPr>
        <w:tc>
          <w:tcPr>
            <w:tcW w:w="221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530B5690"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Certain</w:t>
            </w:r>
          </w:p>
        </w:tc>
        <w:tc>
          <w:tcPr>
            <w:tcW w:w="1176"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7504C40D"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5</w:t>
            </w:r>
          </w:p>
        </w:tc>
        <w:tc>
          <w:tcPr>
            <w:tcW w:w="134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E21C96"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It will happen or reoccur, even frequently.</w:t>
            </w:r>
          </w:p>
        </w:tc>
      </w:tr>
    </w:tbl>
    <w:p w14:paraId="4D9FF606" w14:textId="77777777" w:rsid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FC24BFB" w14:textId="77777777" w:rsid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CAE9BBF" w14:textId="77777777" w:rsid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A02E0EB" w14:textId="2BE9A012" w:rsidR="00E56D59" w:rsidRP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E56D59">
        <w:rPr>
          <w:rFonts w:ascii="Montserrat" w:eastAsia="Times New Roman" w:hAnsi="Montserrat" w:cs="Times New Roman"/>
          <w:b/>
          <w:bCs/>
          <w:color w:val="FCB53B"/>
          <w:kern w:val="0"/>
          <w:sz w:val="36"/>
          <w:szCs w:val="36"/>
          <w:bdr w:val="none" w:sz="0" w:space="0" w:color="auto" w:frame="1"/>
          <w:lang w:eastAsia="en-AU"/>
          <w14:ligatures w14:val="none"/>
        </w:rPr>
        <w:lastRenderedPageBreak/>
        <w:t>Assess the Severity</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906"/>
        <w:gridCol w:w="944"/>
        <w:gridCol w:w="6789"/>
      </w:tblGrid>
      <w:tr w:rsidR="00E56D59" w:rsidRPr="00E56D59" w14:paraId="07E6D2BA" w14:textId="77777777" w:rsidTr="00E56D59">
        <w:tc>
          <w:tcPr>
            <w:tcW w:w="2465" w:type="dxa"/>
            <w:tcBorders>
              <w:top w:val="outset" w:sz="6" w:space="0" w:color="auto"/>
              <w:left w:val="outset" w:sz="6" w:space="0" w:color="auto"/>
              <w:bottom w:val="outset" w:sz="6" w:space="0" w:color="auto"/>
              <w:right w:val="outset" w:sz="6" w:space="0" w:color="auto"/>
            </w:tcBorders>
            <w:shd w:val="clear" w:color="auto" w:fill="4682B4"/>
            <w:vAlign w:val="center"/>
            <w:hideMark/>
          </w:tcPr>
          <w:p w14:paraId="7B7B5422"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Severity</w:t>
            </w:r>
          </w:p>
        </w:tc>
        <w:tc>
          <w:tcPr>
            <w:tcW w:w="977" w:type="dxa"/>
            <w:tcBorders>
              <w:top w:val="outset" w:sz="6" w:space="0" w:color="auto"/>
              <w:left w:val="outset" w:sz="6" w:space="0" w:color="auto"/>
              <w:bottom w:val="outset" w:sz="6" w:space="0" w:color="auto"/>
              <w:right w:val="outset" w:sz="6" w:space="0" w:color="auto"/>
            </w:tcBorders>
            <w:shd w:val="clear" w:color="auto" w:fill="4682B4"/>
            <w:vAlign w:val="center"/>
            <w:hideMark/>
          </w:tcPr>
          <w:p w14:paraId="4557A87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Score</w:t>
            </w:r>
          </w:p>
        </w:tc>
        <w:tc>
          <w:tcPr>
            <w:tcW w:w="13418" w:type="dxa"/>
            <w:tcBorders>
              <w:top w:val="outset" w:sz="6" w:space="0" w:color="auto"/>
              <w:left w:val="outset" w:sz="6" w:space="0" w:color="auto"/>
              <w:bottom w:val="outset" w:sz="6" w:space="0" w:color="auto"/>
              <w:right w:val="outset" w:sz="6" w:space="0" w:color="auto"/>
            </w:tcBorders>
            <w:shd w:val="clear" w:color="auto" w:fill="4682B4"/>
            <w:vAlign w:val="center"/>
            <w:hideMark/>
          </w:tcPr>
          <w:p w14:paraId="4EE6D0D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Meaning</w:t>
            </w:r>
          </w:p>
        </w:tc>
      </w:tr>
      <w:tr w:rsidR="00E56D59" w:rsidRPr="00E56D59" w14:paraId="210A907D" w14:textId="77777777" w:rsidTr="00E56D59">
        <w:tc>
          <w:tcPr>
            <w:tcW w:w="2465"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3D2EDE6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Trivial</w:t>
            </w:r>
          </w:p>
        </w:tc>
        <w:tc>
          <w:tcPr>
            <w:tcW w:w="97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4A16A4B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1</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B9695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No injury – Minor property damage</w:t>
            </w:r>
          </w:p>
        </w:tc>
      </w:tr>
      <w:tr w:rsidR="00E56D59" w:rsidRPr="00E56D59" w14:paraId="0E192C02" w14:textId="77777777" w:rsidTr="00E56D59">
        <w:tc>
          <w:tcPr>
            <w:tcW w:w="2465"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2D55BE2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Minor</w:t>
            </w:r>
          </w:p>
        </w:tc>
        <w:tc>
          <w:tcPr>
            <w:tcW w:w="97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4D6C1D6E"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2</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B1E13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Slightly harmful – minor cuts and abrasions. Some property damage but minimal and minor.</w:t>
            </w:r>
          </w:p>
        </w:tc>
      </w:tr>
      <w:tr w:rsidR="00E56D59" w:rsidRPr="00E56D59" w14:paraId="65C421CB" w14:textId="77777777" w:rsidTr="00E56D59">
        <w:tc>
          <w:tcPr>
            <w:tcW w:w="2465"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76BA115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Moderate</w:t>
            </w:r>
          </w:p>
        </w:tc>
        <w:tc>
          <w:tcPr>
            <w:tcW w:w="97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5B37C417"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3</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6A9ADF"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Harmful – Lacerations, sprains, minor fractures, asthma, minor burns. Property damage that requires contract work. Interruption to business for less than a day.</w:t>
            </w:r>
          </w:p>
        </w:tc>
      </w:tr>
      <w:tr w:rsidR="00E56D59" w:rsidRPr="00E56D59" w14:paraId="194A65FD" w14:textId="77777777" w:rsidTr="00E56D59">
        <w:tc>
          <w:tcPr>
            <w:tcW w:w="2465"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30515F36"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Major</w:t>
            </w:r>
          </w:p>
        </w:tc>
        <w:tc>
          <w:tcPr>
            <w:tcW w:w="97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3CBE54C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4</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C694E1"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Extremely harmful – Permanent disability, major fractures, deafness, anaphylaxis reaction, disease. Major impact to the business of 2-5 days.</w:t>
            </w:r>
          </w:p>
        </w:tc>
      </w:tr>
      <w:tr w:rsidR="00E56D59" w:rsidRPr="00E56D59" w14:paraId="3D2396BE" w14:textId="77777777" w:rsidTr="00E56D59">
        <w:tc>
          <w:tcPr>
            <w:tcW w:w="2465"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56376444"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Significant</w:t>
            </w:r>
          </w:p>
        </w:tc>
        <w:tc>
          <w:tcPr>
            <w:tcW w:w="977" w:type="dxa"/>
            <w:tcBorders>
              <w:top w:val="outset" w:sz="6" w:space="0" w:color="auto"/>
              <w:left w:val="outset" w:sz="6" w:space="0" w:color="auto"/>
              <w:bottom w:val="outset" w:sz="6" w:space="0" w:color="auto"/>
              <w:right w:val="outset" w:sz="6" w:space="0" w:color="auto"/>
            </w:tcBorders>
            <w:shd w:val="clear" w:color="auto" w:fill="87CEEB"/>
            <w:vAlign w:val="center"/>
            <w:hideMark/>
          </w:tcPr>
          <w:p w14:paraId="260E57E0"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5</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4DF7AE"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Fatal – Could result in a fatality or loss of buildings. Could also include or involve interruption to business for 5 or more days.</w:t>
            </w:r>
          </w:p>
        </w:tc>
      </w:tr>
    </w:tbl>
    <w:p w14:paraId="508CAE4E" w14:textId="77777777" w:rsid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95ACA45" w14:textId="1199B3A0" w:rsidR="00E56D59" w:rsidRPr="00E56D59" w:rsidRDefault="00E56D59" w:rsidP="00E56D5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E56D59">
        <w:rPr>
          <w:rFonts w:ascii="Montserrat" w:eastAsia="Times New Roman" w:hAnsi="Montserrat" w:cs="Times New Roman"/>
          <w:b/>
          <w:bCs/>
          <w:color w:val="FCB53B"/>
          <w:kern w:val="0"/>
          <w:sz w:val="36"/>
          <w:szCs w:val="36"/>
          <w:bdr w:val="none" w:sz="0" w:space="0" w:color="auto" w:frame="1"/>
          <w:lang w:eastAsia="en-AU"/>
          <w14:ligatures w14:val="none"/>
        </w:rPr>
        <w:t>Likelihood x Severity = Risk Score</w:t>
      </w:r>
    </w:p>
    <w:p w14:paraId="4B0E8B56" w14:textId="77777777" w:rsidR="00E56D59" w:rsidRPr="00E56D59" w:rsidRDefault="00E56D59" w:rsidP="00E56D5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Use Risk Score and Colour to determine Risk Management Plan.</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353"/>
        <w:gridCol w:w="7286"/>
      </w:tblGrid>
      <w:tr w:rsidR="00E56D59" w:rsidRPr="00E56D59" w14:paraId="5857B5A7" w14:textId="77777777" w:rsidTr="00E56D59">
        <w:tc>
          <w:tcPr>
            <w:tcW w:w="3828" w:type="dxa"/>
            <w:tcBorders>
              <w:top w:val="outset" w:sz="6" w:space="0" w:color="auto"/>
              <w:left w:val="outset" w:sz="6" w:space="0" w:color="auto"/>
              <w:bottom w:val="outset" w:sz="6" w:space="0" w:color="auto"/>
              <w:right w:val="outset" w:sz="6" w:space="0" w:color="auto"/>
            </w:tcBorders>
            <w:shd w:val="clear" w:color="auto" w:fill="4682B4"/>
            <w:vAlign w:val="center"/>
            <w:hideMark/>
          </w:tcPr>
          <w:p w14:paraId="08044D0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Colour</w:t>
            </w:r>
          </w:p>
        </w:tc>
        <w:tc>
          <w:tcPr>
            <w:tcW w:w="13392" w:type="dxa"/>
            <w:tcBorders>
              <w:top w:val="outset" w:sz="6" w:space="0" w:color="auto"/>
              <w:left w:val="outset" w:sz="6" w:space="0" w:color="auto"/>
              <w:bottom w:val="outset" w:sz="6" w:space="0" w:color="auto"/>
              <w:right w:val="outset" w:sz="6" w:space="0" w:color="auto"/>
            </w:tcBorders>
            <w:shd w:val="clear" w:color="auto" w:fill="4682B4"/>
            <w:vAlign w:val="center"/>
            <w:hideMark/>
          </w:tcPr>
          <w:p w14:paraId="280B6613"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b/>
                <w:bCs/>
                <w:color w:val="000000"/>
                <w:kern w:val="0"/>
                <w:sz w:val="23"/>
                <w:szCs w:val="23"/>
                <w:bdr w:val="none" w:sz="0" w:space="0" w:color="auto" w:frame="1"/>
                <w:lang w:eastAsia="en-AU"/>
                <w14:ligatures w14:val="none"/>
              </w:rPr>
              <w:t>Meaning</w:t>
            </w:r>
          </w:p>
        </w:tc>
      </w:tr>
      <w:tr w:rsidR="00E56D59" w:rsidRPr="00E56D59" w14:paraId="7AF4114C" w14:textId="77777777" w:rsidTr="00E56D59">
        <w:tc>
          <w:tcPr>
            <w:tcW w:w="3828" w:type="dxa"/>
            <w:tcBorders>
              <w:top w:val="outset" w:sz="6" w:space="0" w:color="auto"/>
              <w:left w:val="outset" w:sz="6" w:space="0" w:color="auto"/>
              <w:bottom w:val="outset" w:sz="6" w:space="0" w:color="auto"/>
              <w:right w:val="outset" w:sz="6" w:space="0" w:color="auto"/>
            </w:tcBorders>
            <w:shd w:val="clear" w:color="auto" w:fill="3CB371"/>
            <w:vAlign w:val="center"/>
            <w:hideMark/>
          </w:tcPr>
          <w:p w14:paraId="37E09DD6"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133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13F03C"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Acceptable with ongoing review and monitoring for Continuous Improvement</w:t>
            </w:r>
          </w:p>
        </w:tc>
      </w:tr>
      <w:tr w:rsidR="00E56D59" w:rsidRPr="00E56D59" w14:paraId="7BB903CF" w14:textId="77777777" w:rsidTr="00E56D59">
        <w:tc>
          <w:tcPr>
            <w:tcW w:w="3828" w:type="dxa"/>
            <w:tcBorders>
              <w:top w:val="outset" w:sz="6" w:space="0" w:color="auto"/>
              <w:left w:val="outset" w:sz="6" w:space="0" w:color="auto"/>
              <w:bottom w:val="outset" w:sz="6" w:space="0" w:color="auto"/>
              <w:right w:val="outset" w:sz="6" w:space="0" w:color="auto"/>
            </w:tcBorders>
            <w:shd w:val="clear" w:color="auto" w:fill="00BFFF"/>
            <w:vAlign w:val="center"/>
            <w:hideMark/>
          </w:tcPr>
          <w:p w14:paraId="00489935"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133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2A3ED2"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Acceptable but will require continued monitoring against a developed action plan</w:t>
            </w:r>
          </w:p>
        </w:tc>
      </w:tr>
      <w:tr w:rsidR="00E56D59" w:rsidRPr="00E56D59" w14:paraId="10732D57" w14:textId="77777777" w:rsidTr="00E56D59">
        <w:tc>
          <w:tcPr>
            <w:tcW w:w="3828" w:type="dxa"/>
            <w:tcBorders>
              <w:top w:val="outset" w:sz="6" w:space="0" w:color="auto"/>
              <w:left w:val="outset" w:sz="6" w:space="0" w:color="auto"/>
              <w:bottom w:val="outset" w:sz="6" w:space="0" w:color="auto"/>
              <w:right w:val="outset" w:sz="6" w:space="0" w:color="auto"/>
            </w:tcBorders>
            <w:shd w:val="clear" w:color="auto" w:fill="FFA500"/>
            <w:vAlign w:val="center"/>
            <w:hideMark/>
          </w:tcPr>
          <w:p w14:paraId="03D41EA7"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133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A8A948"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Requires management approval to proceed but can be managed with mitigation of risk.</w:t>
            </w:r>
          </w:p>
        </w:tc>
      </w:tr>
      <w:tr w:rsidR="00E56D59" w:rsidRPr="00E56D59" w14:paraId="253492ED" w14:textId="77777777" w:rsidTr="00E56D59">
        <w:tc>
          <w:tcPr>
            <w:tcW w:w="3828" w:type="dxa"/>
            <w:tcBorders>
              <w:top w:val="outset" w:sz="6" w:space="0" w:color="auto"/>
              <w:left w:val="outset" w:sz="6" w:space="0" w:color="auto"/>
              <w:bottom w:val="outset" w:sz="6" w:space="0" w:color="auto"/>
              <w:right w:val="outset" w:sz="6" w:space="0" w:color="auto"/>
            </w:tcBorders>
            <w:shd w:val="clear" w:color="auto" w:fill="CD5C5C"/>
            <w:vAlign w:val="center"/>
            <w:hideMark/>
          </w:tcPr>
          <w:p w14:paraId="2D9F1196"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p>
        </w:tc>
        <w:tc>
          <w:tcPr>
            <w:tcW w:w="133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727D0F" w14:textId="77777777" w:rsidR="00E56D59" w:rsidRPr="00E56D59" w:rsidRDefault="00E56D59" w:rsidP="00E56D59">
            <w:pPr>
              <w:spacing w:after="0" w:line="240" w:lineRule="auto"/>
              <w:rPr>
                <w:rFonts w:ascii="Montserrat" w:eastAsia="Times New Roman" w:hAnsi="Montserrat" w:cs="Times New Roman"/>
                <w:color w:val="5F646A"/>
                <w:kern w:val="0"/>
                <w:sz w:val="23"/>
                <w:szCs w:val="23"/>
                <w:lang w:eastAsia="en-AU"/>
                <w14:ligatures w14:val="none"/>
              </w:rPr>
            </w:pPr>
            <w:r w:rsidRPr="00E56D59">
              <w:rPr>
                <w:rFonts w:ascii="Montserrat" w:eastAsia="Times New Roman" w:hAnsi="Montserrat" w:cs="Times New Roman"/>
                <w:color w:val="5F646A"/>
                <w:kern w:val="0"/>
                <w:sz w:val="23"/>
                <w:szCs w:val="23"/>
                <w:lang w:eastAsia="en-AU"/>
                <w14:ligatures w14:val="none"/>
              </w:rPr>
              <w:t xml:space="preserve">Cannot </w:t>
            </w:r>
            <w:proofErr w:type="gramStart"/>
            <w:r w:rsidRPr="00E56D59">
              <w:rPr>
                <w:rFonts w:ascii="Montserrat" w:eastAsia="Times New Roman" w:hAnsi="Montserrat" w:cs="Times New Roman"/>
                <w:color w:val="5F646A"/>
                <w:kern w:val="0"/>
                <w:sz w:val="23"/>
                <w:szCs w:val="23"/>
                <w:lang w:eastAsia="en-AU"/>
                <w14:ligatures w14:val="none"/>
              </w:rPr>
              <w:t>proceed, and</w:t>
            </w:r>
            <w:proofErr w:type="gramEnd"/>
            <w:r w:rsidRPr="00E56D59">
              <w:rPr>
                <w:rFonts w:ascii="Montserrat" w:eastAsia="Times New Roman" w:hAnsi="Montserrat" w:cs="Times New Roman"/>
                <w:color w:val="5F646A"/>
                <w:kern w:val="0"/>
                <w:sz w:val="23"/>
                <w:szCs w:val="23"/>
                <w:lang w:eastAsia="en-AU"/>
                <w14:ligatures w14:val="none"/>
              </w:rPr>
              <w:t xml:space="preserve"> is unacceptable as it currently exists. Will need to be fully reviewed and actioned immediately.</w:t>
            </w:r>
          </w:p>
        </w:tc>
      </w:tr>
    </w:tbl>
    <w:p w14:paraId="3E5DB5C5" w14:textId="77777777" w:rsidR="00E56D59" w:rsidRDefault="00E56D59"/>
    <w:sectPr w:rsidR="00E56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A03E5"/>
    <w:multiLevelType w:val="multilevel"/>
    <w:tmpl w:val="3BF6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FD4C72"/>
    <w:multiLevelType w:val="multilevel"/>
    <w:tmpl w:val="1312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480F71"/>
    <w:multiLevelType w:val="multilevel"/>
    <w:tmpl w:val="2B4A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4A61C8"/>
    <w:multiLevelType w:val="multilevel"/>
    <w:tmpl w:val="0FEE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1B561D"/>
    <w:multiLevelType w:val="multilevel"/>
    <w:tmpl w:val="9848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037704"/>
    <w:multiLevelType w:val="multilevel"/>
    <w:tmpl w:val="2C3E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641070"/>
    <w:multiLevelType w:val="multilevel"/>
    <w:tmpl w:val="9DFA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4402770">
    <w:abstractNumId w:val="0"/>
  </w:num>
  <w:num w:numId="2" w16cid:durableId="1456869145">
    <w:abstractNumId w:val="5"/>
  </w:num>
  <w:num w:numId="3" w16cid:durableId="959187031">
    <w:abstractNumId w:val="4"/>
  </w:num>
  <w:num w:numId="4" w16cid:durableId="1113861706">
    <w:abstractNumId w:val="6"/>
  </w:num>
  <w:num w:numId="5" w16cid:durableId="795106514">
    <w:abstractNumId w:val="3"/>
  </w:num>
  <w:num w:numId="6" w16cid:durableId="561254939">
    <w:abstractNumId w:val="1"/>
  </w:num>
  <w:num w:numId="7" w16cid:durableId="519011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59"/>
    <w:rsid w:val="009048C2"/>
    <w:rsid w:val="00E56D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0C66"/>
  <w15:chartTrackingRefBased/>
  <w15:docId w15:val="{440733F9-0BF5-4405-BAD1-D81D06B1C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D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6D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6D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D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D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D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D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D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D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D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6D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6D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6D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6D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6D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D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D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D59"/>
    <w:rPr>
      <w:rFonts w:eastAsiaTheme="majorEastAsia" w:cstheme="majorBidi"/>
      <w:color w:val="272727" w:themeColor="text1" w:themeTint="D8"/>
    </w:rPr>
  </w:style>
  <w:style w:type="paragraph" w:styleId="Title">
    <w:name w:val="Title"/>
    <w:basedOn w:val="Normal"/>
    <w:next w:val="Normal"/>
    <w:link w:val="TitleChar"/>
    <w:uiPriority w:val="10"/>
    <w:qFormat/>
    <w:rsid w:val="00E56D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D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D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D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D59"/>
    <w:pPr>
      <w:spacing w:before="160"/>
      <w:jc w:val="center"/>
    </w:pPr>
    <w:rPr>
      <w:i/>
      <w:iCs/>
      <w:color w:val="404040" w:themeColor="text1" w:themeTint="BF"/>
    </w:rPr>
  </w:style>
  <w:style w:type="character" w:customStyle="1" w:styleId="QuoteChar">
    <w:name w:val="Quote Char"/>
    <w:basedOn w:val="DefaultParagraphFont"/>
    <w:link w:val="Quote"/>
    <w:uiPriority w:val="29"/>
    <w:rsid w:val="00E56D59"/>
    <w:rPr>
      <w:i/>
      <w:iCs/>
      <w:color w:val="404040" w:themeColor="text1" w:themeTint="BF"/>
    </w:rPr>
  </w:style>
  <w:style w:type="paragraph" w:styleId="ListParagraph">
    <w:name w:val="List Paragraph"/>
    <w:basedOn w:val="Normal"/>
    <w:uiPriority w:val="34"/>
    <w:qFormat/>
    <w:rsid w:val="00E56D59"/>
    <w:pPr>
      <w:ind w:left="720"/>
      <w:contextualSpacing/>
    </w:pPr>
  </w:style>
  <w:style w:type="character" w:styleId="IntenseEmphasis">
    <w:name w:val="Intense Emphasis"/>
    <w:basedOn w:val="DefaultParagraphFont"/>
    <w:uiPriority w:val="21"/>
    <w:qFormat/>
    <w:rsid w:val="00E56D59"/>
    <w:rPr>
      <w:i/>
      <w:iCs/>
      <w:color w:val="0F4761" w:themeColor="accent1" w:themeShade="BF"/>
    </w:rPr>
  </w:style>
  <w:style w:type="paragraph" w:styleId="IntenseQuote">
    <w:name w:val="Intense Quote"/>
    <w:basedOn w:val="Normal"/>
    <w:next w:val="Normal"/>
    <w:link w:val="IntenseQuoteChar"/>
    <w:uiPriority w:val="30"/>
    <w:qFormat/>
    <w:rsid w:val="00E56D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6D59"/>
    <w:rPr>
      <w:i/>
      <w:iCs/>
      <w:color w:val="0F4761" w:themeColor="accent1" w:themeShade="BF"/>
    </w:rPr>
  </w:style>
  <w:style w:type="character" w:styleId="IntenseReference">
    <w:name w:val="Intense Reference"/>
    <w:basedOn w:val="DefaultParagraphFont"/>
    <w:uiPriority w:val="32"/>
    <w:qFormat/>
    <w:rsid w:val="00E56D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2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C118572-3B7F-46B3-B842-9BB6163E2F55}"/>
</file>

<file path=customXml/itemProps2.xml><?xml version="1.0" encoding="utf-8"?>
<ds:datastoreItem xmlns:ds="http://schemas.openxmlformats.org/officeDocument/2006/customXml" ds:itemID="{46E87052-321B-449F-9158-E67A18008AB1}"/>
</file>

<file path=customXml/itemProps3.xml><?xml version="1.0" encoding="utf-8"?>
<ds:datastoreItem xmlns:ds="http://schemas.openxmlformats.org/officeDocument/2006/customXml" ds:itemID="{84CE5A81-98B5-48AE-8ED3-8545DCF0824D}"/>
</file>

<file path=docProps/app.xml><?xml version="1.0" encoding="utf-8"?>
<Properties xmlns="http://schemas.openxmlformats.org/officeDocument/2006/extended-properties" xmlns:vt="http://schemas.openxmlformats.org/officeDocument/2006/docPropsVTypes">
  <Template>Normal</Template>
  <TotalTime>2</TotalTime>
  <Pages>7</Pages>
  <Words>1297</Words>
  <Characters>7398</Characters>
  <Application>Microsoft Office Word</Application>
  <DocSecurity>0</DocSecurity>
  <Lines>61</Lines>
  <Paragraphs>17</Paragraphs>
  <ScaleCrop>false</ScaleCrop>
  <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2025-05-28T02:47:00Z</dcterms:created>
  <dcterms:modified xsi:type="dcterms:W3CDTF">2025-05-28T02:49:00Z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