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62266" w14:textId="77777777" w:rsidR="00FF5B2A" w:rsidRPr="00FF5B2A" w:rsidRDefault="00FF5B2A" w:rsidP="00FF5B2A">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F5B2A">
        <w:rPr>
          <w:rFonts w:ascii="Montserrat" w:eastAsia="Times New Roman" w:hAnsi="Montserrat" w:cs="Times New Roman"/>
          <w:b/>
          <w:bCs/>
          <w:color w:val="006D5D"/>
          <w:kern w:val="36"/>
          <w:sz w:val="51"/>
          <w:szCs w:val="51"/>
          <w:bdr w:val="none" w:sz="0" w:space="0" w:color="auto" w:frame="1"/>
          <w:lang w:eastAsia="en-AU"/>
          <w14:ligatures w14:val="none"/>
        </w:rPr>
        <w:t>Restrictive Practices Policy and Procedure</w:t>
      </w:r>
    </w:p>
    <w:p w14:paraId="3FE25E79" w14:textId="77777777" w:rsidR="00FF5B2A" w:rsidRPr="00FF5B2A" w:rsidRDefault="00FF5B2A" w:rsidP="00FF5B2A">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F5B2A">
        <w:rPr>
          <w:rFonts w:ascii="Montserrat" w:eastAsia="Times New Roman" w:hAnsi="Montserrat" w:cs="Times New Roman"/>
          <w:b/>
          <w:bCs/>
          <w:color w:val="006D5D"/>
          <w:kern w:val="36"/>
          <w:sz w:val="51"/>
          <w:szCs w:val="51"/>
          <w:bdr w:val="none" w:sz="0" w:space="0" w:color="auto" w:frame="1"/>
          <w:lang w:eastAsia="en-AU"/>
          <w14:ligatures w14:val="none"/>
        </w:rPr>
        <w:t>(SE5)</w:t>
      </w:r>
    </w:p>
    <w:p w14:paraId="6A4F235E"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790CBE10"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purpose of the Restrictive Practices Policy at Banksia Care is to provide mandatory requirements for Banksia Care staff (particularly the support staff) concerning the use of restrictive practices.</w:t>
      </w:r>
    </w:p>
    <w:p w14:paraId="78E461BF"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Scope</w:t>
      </w:r>
    </w:p>
    <w:p w14:paraId="6C86D8FD"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This policy applies to support staff, management and specialist services at Banksia Care.</w:t>
      </w:r>
    </w:p>
    <w:p w14:paraId="0C3F64D0"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770B3FA0" w14:textId="77777777" w:rsidR="00FF5B2A" w:rsidRPr="00FF5B2A" w:rsidRDefault="00FF5B2A" w:rsidP="00FF5B2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Aged Care and Other Legislative Amendment (Royal Commission Response No.1) Act 2021 (</w:t>
      </w:r>
      <w:proofErr w:type="spellStart"/>
      <w:r w:rsidRPr="00FF5B2A">
        <w:rPr>
          <w:rFonts w:ascii="Montserrat" w:eastAsia="Times New Roman" w:hAnsi="Montserrat" w:cs="Times New Roman"/>
          <w:color w:val="5F646A"/>
          <w:kern w:val="0"/>
          <w:sz w:val="23"/>
          <w:szCs w:val="23"/>
          <w:lang w:eastAsia="en-AU"/>
          <w14:ligatures w14:val="none"/>
        </w:rPr>
        <w:t>Cth</w:t>
      </w:r>
      <w:proofErr w:type="spellEnd"/>
      <w:r w:rsidRPr="00FF5B2A">
        <w:rPr>
          <w:rFonts w:ascii="Montserrat" w:eastAsia="Times New Roman" w:hAnsi="Montserrat" w:cs="Times New Roman"/>
          <w:color w:val="5F646A"/>
          <w:kern w:val="0"/>
          <w:sz w:val="23"/>
          <w:szCs w:val="23"/>
          <w:lang w:eastAsia="en-AU"/>
          <w14:ligatures w14:val="none"/>
        </w:rPr>
        <w:t>)</w:t>
      </w:r>
    </w:p>
    <w:p w14:paraId="0594C295" w14:textId="77777777" w:rsidR="00FF5B2A" w:rsidRPr="00FF5B2A" w:rsidRDefault="00FF5B2A" w:rsidP="00FF5B2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Disability Discrimination Act 1992 (</w:t>
      </w:r>
      <w:proofErr w:type="spellStart"/>
      <w:r w:rsidRPr="00FF5B2A">
        <w:rPr>
          <w:rFonts w:ascii="Montserrat" w:eastAsia="Times New Roman" w:hAnsi="Montserrat" w:cs="Times New Roman"/>
          <w:color w:val="5F646A"/>
          <w:kern w:val="0"/>
          <w:sz w:val="23"/>
          <w:szCs w:val="23"/>
          <w:lang w:eastAsia="en-AU"/>
          <w14:ligatures w14:val="none"/>
        </w:rPr>
        <w:t>Cth</w:t>
      </w:r>
      <w:proofErr w:type="spellEnd"/>
      <w:r w:rsidRPr="00FF5B2A">
        <w:rPr>
          <w:rFonts w:ascii="Montserrat" w:eastAsia="Times New Roman" w:hAnsi="Montserrat" w:cs="Times New Roman"/>
          <w:color w:val="5F646A"/>
          <w:kern w:val="0"/>
          <w:sz w:val="23"/>
          <w:szCs w:val="23"/>
          <w:lang w:eastAsia="en-AU"/>
          <w14:ligatures w14:val="none"/>
        </w:rPr>
        <w:t>)</w:t>
      </w:r>
    </w:p>
    <w:p w14:paraId="36F97F82" w14:textId="77777777" w:rsidR="00FF5B2A" w:rsidRPr="00FF5B2A" w:rsidRDefault="00FF5B2A" w:rsidP="00FF5B2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Equal Opportunity Act 1984</w:t>
      </w:r>
    </w:p>
    <w:p w14:paraId="1C9D6C9B" w14:textId="77777777" w:rsidR="00FF5B2A" w:rsidRPr="00FF5B2A" w:rsidRDefault="00FF5B2A" w:rsidP="00FF5B2A">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National Disability Insurance Scheme Act 2013</w:t>
      </w:r>
    </w:p>
    <w:p w14:paraId="5E5C29A2"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0B615F4"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All decision-making about our Restrictive Practices Procedure is carried out in accordance with the principles of our Restrictive Practices Policy.</w:t>
      </w:r>
    </w:p>
    <w:p w14:paraId="3474ECE9"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Our Policy:</w:t>
      </w:r>
    </w:p>
    <w:p w14:paraId="04B17420" w14:textId="77777777" w:rsidR="00FF5B2A" w:rsidRPr="00FF5B2A" w:rsidRDefault="00FF5B2A" w:rsidP="00FF5B2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Contributes to minimising and eliminating restrictive practices for people who sometimes exhibit challenging behaviours.</w:t>
      </w:r>
    </w:p>
    <w:p w14:paraId="26C09C0F" w14:textId="77777777" w:rsidR="00FF5B2A" w:rsidRPr="00FF5B2A" w:rsidRDefault="00FF5B2A" w:rsidP="00FF5B2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Ensures authorised and consented restrictive practices are administered appropriately, with the least infringement of the rights of people with dementia.</w:t>
      </w:r>
    </w:p>
    <w:p w14:paraId="462FBA46" w14:textId="77777777" w:rsidR="00FF5B2A" w:rsidRPr="00FF5B2A" w:rsidRDefault="00FF5B2A" w:rsidP="00FF5B2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Ensures safeguards for exceptional circumstances where unauthorised restrictive practices are needed to protect the welfare of individuals and/or the safety of third parties.</w:t>
      </w:r>
    </w:p>
    <w:p w14:paraId="3009EC91" w14:textId="77777777" w:rsidR="00FF5B2A" w:rsidRPr="00FF5B2A" w:rsidRDefault="00FF5B2A" w:rsidP="00FF5B2A">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Supports Positive Behaviour Support (PBS) Practitioners to implement PBS plans.</w:t>
      </w:r>
    </w:p>
    <w:p w14:paraId="07C5480D"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6108" w:type="pct"/>
        <w:tblInd w:w="-859"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top w:w="150" w:type="dxa"/>
          <w:left w:w="150" w:type="dxa"/>
          <w:bottom w:w="150" w:type="dxa"/>
          <w:right w:w="150" w:type="dxa"/>
        </w:tblCellMar>
        <w:tblLook w:val="04A0" w:firstRow="1" w:lastRow="0" w:firstColumn="1" w:lastColumn="0" w:noHBand="0" w:noVBand="1"/>
      </w:tblPr>
      <w:tblGrid>
        <w:gridCol w:w="2503"/>
        <w:gridCol w:w="4627"/>
        <w:gridCol w:w="3877"/>
      </w:tblGrid>
      <w:tr w:rsidR="00FF5B2A" w:rsidRPr="00FF5B2A" w14:paraId="215115C5" w14:textId="77777777" w:rsidTr="00FF5B2A">
        <w:trPr>
          <w:trHeight w:val="138"/>
          <w:tblHeader/>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69D83D"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997ADF"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0B8744"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FF5B2A" w:rsidRPr="00FF5B2A" w14:paraId="05F4585D"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BCE6C8" w14:textId="06CCF7E6" w:rsidR="00FF5B2A" w:rsidRPr="00FF5B2A" w:rsidRDefault="00FF5B2A" w:rsidP="00FF5B2A">
            <w:pPr>
              <w:spacing w:after="0" w:line="240" w:lineRule="auto"/>
              <w:ind w:firstLine="3952"/>
              <w:rPr>
                <w:rFonts w:ascii="Montserrat" w:eastAsia="Times New Roman" w:hAnsi="Montserrat" w:cs="Times New Roman"/>
                <w:color w:val="5F646A"/>
                <w:kern w:val="0"/>
                <w:sz w:val="23"/>
                <w:szCs w:val="23"/>
                <w:lang w:eastAsia="en-AU"/>
                <w14:ligatures w14:val="none"/>
              </w:rPr>
            </w:pPr>
            <w:proofErr w:type="spellStart"/>
            <w:r w:rsidRPr="00FF5B2A">
              <w:rPr>
                <w:rFonts w:ascii="Montserrat" w:eastAsia="Times New Roman" w:hAnsi="Montserrat" w:cs="Times New Roman"/>
                <w:color w:val="5F646A"/>
                <w:kern w:val="0"/>
                <w:sz w:val="23"/>
                <w:szCs w:val="23"/>
                <w:lang w:eastAsia="en-AU"/>
                <w14:ligatures w14:val="none"/>
              </w:rPr>
              <w:t>R</w:t>
            </w:r>
            <w:r>
              <w:rPr>
                <w:rFonts w:ascii="Montserrat" w:eastAsia="Times New Roman" w:hAnsi="Montserrat" w:cs="Times New Roman"/>
                <w:color w:val="5F646A"/>
                <w:kern w:val="0"/>
                <w:sz w:val="23"/>
                <w:szCs w:val="23"/>
                <w:lang w:eastAsia="en-AU"/>
                <w14:ligatures w14:val="none"/>
              </w:rPr>
              <w:t>R</w:t>
            </w:r>
            <w:r w:rsidRPr="00FF5B2A">
              <w:rPr>
                <w:rFonts w:ascii="Montserrat" w:eastAsia="Times New Roman" w:hAnsi="Montserrat" w:cs="Times New Roman"/>
                <w:color w:val="5F646A"/>
                <w:kern w:val="0"/>
                <w:sz w:val="23"/>
                <w:szCs w:val="23"/>
                <w:lang w:eastAsia="en-AU"/>
                <w14:ligatures w14:val="none"/>
              </w:rPr>
              <w:t>estrictive</w:t>
            </w:r>
            <w:proofErr w:type="spellEnd"/>
            <w:r w:rsidRPr="00FF5B2A">
              <w:rPr>
                <w:rFonts w:ascii="Montserrat" w:eastAsia="Times New Roman" w:hAnsi="Montserrat" w:cs="Times New Roman"/>
                <w:color w:val="5F646A"/>
                <w:kern w:val="0"/>
                <w:sz w:val="23"/>
                <w:szCs w:val="23"/>
                <w:lang w:eastAsia="en-AU"/>
                <w14:ligatures w14:val="none"/>
              </w:rPr>
              <w:t xml:space="preserve"> practice</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EE53AE"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A restrictive practice is any practice or intervention that has the effect of restricting the rights or freedom of movement of an aged care consumer.</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0D2FED"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168EDD2D"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EEA34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Chemical restraint</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FABD2D"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Chemical restraint is a practice or intervention that is, or that involves, the use of medication or a chemical substance for the primary purpose of influencing a consumer’s behaviour, but does not include the use of medication prescribed for:</w:t>
            </w:r>
          </w:p>
          <w:p w14:paraId="08382DC9" w14:textId="77777777" w:rsidR="00FF5B2A" w:rsidRPr="00FF5B2A" w:rsidRDefault="00FF5B2A" w:rsidP="00FF5B2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treatment of, or to enable treatment of, the consumer for a diagnosed mental disorder, a physical illness or a physical condition; or</w:t>
            </w:r>
          </w:p>
          <w:p w14:paraId="6E41219A" w14:textId="77777777" w:rsidR="00FF5B2A" w:rsidRPr="00FF5B2A" w:rsidRDefault="00FF5B2A" w:rsidP="00FF5B2A">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end of life care for the consumer.</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B309E1"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6"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785EC415"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C7B210" w14:textId="5D59903D"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Environmental</w:t>
            </w:r>
            <w:r w:rsidRPr="00FF5B2A">
              <w:rPr>
                <w:rFonts w:ascii="Montserrat" w:eastAsia="Times New Roman" w:hAnsi="Montserrat" w:cs="Times New Roman"/>
                <w:color w:val="5F646A"/>
                <w:kern w:val="0"/>
                <w:sz w:val="23"/>
                <w:szCs w:val="23"/>
                <w:lang w:eastAsia="en-AU"/>
                <w14:ligatures w14:val="none"/>
              </w:rPr>
              <w:t xml:space="preserve"> restraint</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06B174"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Environmental restraint is a practice or intervention that restricts, or that involves restricting, a consumer’s free access to all parts of the consumer’s environment, including items and activities, for the primary purpose of influencing the consumer’s behaviour.</w:t>
            </w:r>
          </w:p>
          <w:p w14:paraId="4CD29E56"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consumer’s environment includes their room, any common areas within the service, and the common grounds outside of the service. It does not include another consumer’s room. Further it does not include areas within the service where a consumer would not ordinarily be allowed to access, or only access with support from care staff. This may include the kitchen, laundry, clinical spaces or areas where medication may be stored, or maintenance sheds for example.</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112900"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7"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7A50D192"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9546B9"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Mechanical restraint</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C7130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Mechanical restraint is a practice or intervention that is, or that involves, the use of a device to prevent, restrict or subdue a consumer’s movement for the primary purpose of influencing the consumer’s behaviour. It does not include the use of a device for therapeutic or </w:t>
            </w:r>
            <w:proofErr w:type="spellStart"/>
            <w:r w:rsidRPr="00FF5B2A">
              <w:rPr>
                <w:rFonts w:ascii="Montserrat" w:eastAsia="Times New Roman" w:hAnsi="Montserrat" w:cs="Times New Roman"/>
                <w:color w:val="5F646A"/>
                <w:kern w:val="0"/>
                <w:sz w:val="23"/>
                <w:szCs w:val="23"/>
                <w:lang w:eastAsia="en-AU"/>
                <w14:ligatures w14:val="none"/>
              </w:rPr>
              <w:t>non behavioural</w:t>
            </w:r>
            <w:proofErr w:type="spellEnd"/>
            <w:r w:rsidRPr="00FF5B2A">
              <w:rPr>
                <w:rFonts w:ascii="Montserrat" w:eastAsia="Times New Roman" w:hAnsi="Montserrat" w:cs="Times New Roman"/>
                <w:color w:val="5F646A"/>
                <w:kern w:val="0"/>
                <w:sz w:val="23"/>
                <w:szCs w:val="23"/>
                <w:lang w:eastAsia="en-AU"/>
                <w14:ligatures w14:val="none"/>
              </w:rPr>
              <w:t xml:space="preserve"> purposes in relation to the consumer.</w:t>
            </w:r>
          </w:p>
          <w:p w14:paraId="7B31DBFD"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Examples of mechanical restraint include use of a lap belt or princess chair, bed rails, low beds or use of clothing which limits movement and is unable to be removed by the consumer.</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D1810E"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8"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1EAE4008"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84C5EE"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restraint</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A9E08D"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restraint is a practice or intervention that is or involves the use of physical force to prevent, restrict or subdue movement of a consumer’s body, or part of a consumer’s body, for the primary purpose of influencing the consumer’s behaviour. This does not include the use of a hands on technique in a reflexive way to guide or redirect the consumer away from potential harm or injury if it is consistent with what could reasonably be considered the exercise of care towards the consumer.</w:t>
            </w:r>
          </w:p>
          <w:p w14:paraId="211857B1"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Examples of physical restraint are:</w:t>
            </w:r>
          </w:p>
          <w:p w14:paraId="3DE8EC4E" w14:textId="77777777" w:rsidR="00FF5B2A" w:rsidRPr="00FF5B2A" w:rsidRDefault="00FF5B2A" w:rsidP="00FF5B2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physically holding a consumer in a specific position to force personal care issues such as showering to be attended to or for administration of medication,</w:t>
            </w:r>
          </w:p>
          <w:p w14:paraId="2BBE3F5C" w14:textId="77777777" w:rsidR="00FF5B2A" w:rsidRPr="00FF5B2A" w:rsidRDefault="00FF5B2A" w:rsidP="00FF5B2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pinning a consumer down, or</w:t>
            </w:r>
          </w:p>
          <w:p w14:paraId="3C9169CA" w14:textId="77777777" w:rsidR="00FF5B2A" w:rsidRPr="00FF5B2A" w:rsidRDefault="00FF5B2A" w:rsidP="00FF5B2A">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physically moving a consumer to stop them moving into a specified area where they may wish to go.</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943B2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9"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4BCB752B" w14:textId="77777777" w:rsidTr="00FF5B2A">
        <w:trPr>
          <w:trHeight w:val="186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DB25DC"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Seclusion</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48302D"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Seclusion is a practice or intervention that is, or that involves, the solitary confinement of a consumer in a room or a physical space at any hour of the day or night for the primary purpose of influencing the consumer’s behaviour where:</w:t>
            </w:r>
          </w:p>
          <w:p w14:paraId="1B6D2496" w14:textId="77777777" w:rsidR="00FF5B2A" w:rsidRPr="00FF5B2A" w:rsidRDefault="00FF5B2A" w:rsidP="00FF5B2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voluntary exit is prevented or not facilitated; or</w:t>
            </w:r>
          </w:p>
          <w:p w14:paraId="45215A3F" w14:textId="77777777" w:rsidR="00FF5B2A" w:rsidRPr="00FF5B2A" w:rsidRDefault="00FF5B2A" w:rsidP="00FF5B2A">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it is implied that voluntary exit is not permitted.</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8FEEDE"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10"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https://www.agedcarequality.gov.au/sites/default/files/media/overview-of-restrictive-practices_0.pdf</w:t>
              </w:r>
            </w:hyperlink>
          </w:p>
        </w:tc>
      </w:tr>
      <w:tr w:rsidR="00FF5B2A" w:rsidRPr="00FF5B2A" w14:paraId="446957E4" w14:textId="77777777" w:rsidTr="00FF5B2A">
        <w:trPr>
          <w:trHeight w:val="1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5AC724"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Behaviours of concern</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9685B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The behaviour of concern, also termed challenging behaviour, refers to challenging and difficult </w:t>
            </w:r>
            <w:proofErr w:type="spellStart"/>
            <w:r w:rsidRPr="00FF5B2A">
              <w:rPr>
                <w:rFonts w:ascii="Montserrat" w:eastAsia="Times New Roman" w:hAnsi="Montserrat" w:cs="Times New Roman"/>
                <w:color w:val="5F646A"/>
                <w:kern w:val="0"/>
                <w:sz w:val="23"/>
                <w:szCs w:val="23"/>
                <w:lang w:eastAsia="en-AU"/>
                <w14:ligatures w14:val="none"/>
              </w:rPr>
              <w:t>behaviors</w:t>
            </w:r>
            <w:proofErr w:type="spellEnd"/>
            <w:r w:rsidRPr="00FF5B2A">
              <w:rPr>
                <w:rFonts w:ascii="Montserrat" w:eastAsia="Times New Roman" w:hAnsi="Montserrat" w:cs="Times New Roman"/>
                <w:color w:val="5F646A"/>
                <w:kern w:val="0"/>
                <w:sz w:val="23"/>
                <w:szCs w:val="23"/>
                <w:lang w:eastAsia="en-AU"/>
                <w14:ligatures w14:val="none"/>
              </w:rPr>
              <w:t xml:space="preserve"> exhibited by people with a disability that impact their physical safety or quality of life and/or those around them.</w:t>
            </w:r>
          </w:p>
          <w:p w14:paraId="3994D549"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Behaviours of concern can be when someone does things that hurt themselves, other people, and/or things. This behaviour can stop them from doing things that ‘regular’ people do, such as going to work or meeting with friends.</w:t>
            </w:r>
          </w:p>
          <w:p w14:paraId="1DC72B83"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Behaviour of concern can seriously cause stress for family and/or </w:t>
            </w:r>
            <w:proofErr w:type="gramStart"/>
            <w:r w:rsidRPr="00FF5B2A">
              <w:rPr>
                <w:rFonts w:ascii="Montserrat" w:eastAsia="Times New Roman" w:hAnsi="Montserrat" w:cs="Times New Roman"/>
                <w:color w:val="5F646A"/>
                <w:kern w:val="0"/>
                <w:sz w:val="23"/>
                <w:szCs w:val="23"/>
                <w:lang w:eastAsia="en-AU"/>
                <w14:ligatures w14:val="none"/>
              </w:rPr>
              <w:t>carers, and</w:t>
            </w:r>
            <w:proofErr w:type="gramEnd"/>
            <w:r w:rsidRPr="00FF5B2A">
              <w:rPr>
                <w:rFonts w:ascii="Montserrat" w:eastAsia="Times New Roman" w:hAnsi="Montserrat" w:cs="Times New Roman"/>
                <w:color w:val="5F646A"/>
                <w:kern w:val="0"/>
                <w:sz w:val="23"/>
                <w:szCs w:val="23"/>
                <w:lang w:eastAsia="en-AU"/>
                <w14:ligatures w14:val="none"/>
              </w:rPr>
              <w:t xml:space="preserve"> possibly harm them.</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DCF9D5"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11"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https://www.elvescare.com.au/behaviour-of-concern/</w:t>
              </w:r>
            </w:hyperlink>
          </w:p>
        </w:tc>
      </w:tr>
      <w:tr w:rsidR="00FF5B2A" w:rsidRPr="00FF5B2A" w14:paraId="64FEB7C9" w14:textId="77777777" w:rsidTr="00FF5B2A">
        <w:trPr>
          <w:trHeight w:val="5938"/>
        </w:trPr>
        <w:tc>
          <w:tcPr>
            <w:tcW w:w="113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5D94E1"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Behaviour Support Plan</w:t>
            </w:r>
          </w:p>
        </w:tc>
        <w:tc>
          <w:tcPr>
            <w:tcW w:w="210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25476A"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BSP – is for any resident that requires behaviour support by an aged care provider must have a Behaviour Support Plan (BSP) included in their care plan. Strategies you develop for a BSP will need to be tailored to the person and include consultation with them and their care partners.</w:t>
            </w:r>
          </w:p>
          <w:p w14:paraId="063198E2"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BSP will need to include information about the person and their preferences. It should also consider how to change or manage things that may be causing the resident distress and/or how to work out ways to meet their needs.</w:t>
            </w:r>
          </w:p>
          <w:p w14:paraId="37C2D4BE" w14:textId="77777777" w:rsidR="00FF5B2A" w:rsidRPr="00FF5B2A" w:rsidRDefault="00FF5B2A" w:rsidP="00FF5B2A">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A BSP must also identify what steps to take if things become unsafe. Some plans will be more straightforward. For example, if a person is behaving in particular ways because of treatable pain, strategies that focus on pain management and ongoing observation are likely to help resolve that person’s pain and their behaviour.</w:t>
            </w:r>
          </w:p>
        </w:tc>
        <w:tc>
          <w:tcPr>
            <w:tcW w:w="176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68512B"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hyperlink r:id="rId12" w:history="1">
              <w:r w:rsidRPr="00FF5B2A">
                <w:rPr>
                  <w:rFonts w:ascii="Montserrat" w:eastAsia="Times New Roman" w:hAnsi="Montserrat" w:cs="Times New Roman"/>
                  <w:color w:val="006D5D"/>
                  <w:kern w:val="0"/>
                  <w:sz w:val="23"/>
                  <w:szCs w:val="23"/>
                  <w:bdr w:val="none" w:sz="0" w:space="0" w:color="auto" w:frame="1"/>
                  <w:lang w:eastAsia="en-AU"/>
                  <w14:ligatures w14:val="none"/>
                </w:rPr>
                <w:t>https://www.dementia.com.au/behaviour-support-plans</w:t>
              </w:r>
            </w:hyperlink>
          </w:p>
        </w:tc>
      </w:tr>
    </w:tbl>
    <w:p w14:paraId="1ADD79B5"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3D92C682" w14:textId="77777777" w:rsidR="00FF5B2A" w:rsidRPr="00FF5B2A" w:rsidRDefault="00FF5B2A" w:rsidP="00FF5B2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Safety and Risk Management Policy and Procedure</w:t>
      </w:r>
    </w:p>
    <w:p w14:paraId="42D63415" w14:textId="77777777" w:rsidR="00FF5B2A" w:rsidRPr="00FF5B2A" w:rsidRDefault="00FF5B2A" w:rsidP="00FF5B2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Privacy and Confidentiality Policy and Procedure</w:t>
      </w:r>
    </w:p>
    <w:p w14:paraId="2E98CEB7" w14:textId="77777777" w:rsidR="00FF5B2A" w:rsidRPr="00FF5B2A" w:rsidRDefault="00FF5B2A" w:rsidP="00FF5B2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Duty of Care Policy and Procedure</w:t>
      </w:r>
    </w:p>
    <w:p w14:paraId="373F0817" w14:textId="77777777" w:rsidR="00FF5B2A" w:rsidRPr="00FF5B2A" w:rsidRDefault="00FF5B2A" w:rsidP="00FF5B2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Code of Conduct Policy and Procedure</w:t>
      </w:r>
    </w:p>
    <w:p w14:paraId="08262A62" w14:textId="77777777" w:rsidR="00FF5B2A" w:rsidRPr="00FF5B2A" w:rsidRDefault="00FF5B2A" w:rsidP="00FF5B2A">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Code of Ethics</w:t>
      </w:r>
    </w:p>
    <w:p w14:paraId="3B34A4C7"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6DA24274"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Restrictive Practices Policy to enable staff to fulfil their roles effectively. In addition, Banksia Care promotes information sharing at staff meetings, sharing of information received from industry trends or changes in legislation, and consultation at policy review sessions.</w:t>
      </w:r>
    </w:p>
    <w:p w14:paraId="04DC4605"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5979" w:type="pct"/>
        <w:tblInd w:w="-717"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3719"/>
        <w:gridCol w:w="3004"/>
        <w:gridCol w:w="4051"/>
      </w:tblGrid>
      <w:tr w:rsidR="00FF5B2A" w:rsidRPr="00FF5B2A" w14:paraId="0474B6CA" w14:textId="77777777" w:rsidTr="00FF5B2A">
        <w:tc>
          <w:tcPr>
            <w:tcW w:w="172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76D442"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139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B9A26C"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proofErr w:type="spellStart"/>
            <w:r w:rsidRPr="00FF5B2A">
              <w:rPr>
                <w:rFonts w:ascii="Montserrat" w:eastAsia="Times New Roman" w:hAnsi="Montserrat" w:cs="Times New Roman"/>
                <w:b/>
                <w:bCs/>
                <w:color w:val="5F646A"/>
                <w:kern w:val="0"/>
                <w:sz w:val="23"/>
                <w:szCs w:val="23"/>
                <w:bdr w:val="none" w:sz="0" w:space="0" w:color="auto" w:frame="1"/>
                <w:lang w:eastAsia="en-AU"/>
                <w14:ligatures w14:val="none"/>
              </w:rPr>
              <w:t>Modifictions</w:t>
            </w:r>
            <w:proofErr w:type="spellEnd"/>
          </w:p>
        </w:tc>
        <w:tc>
          <w:tcPr>
            <w:tcW w:w="188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98D6C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FF5B2A" w:rsidRPr="00FF5B2A" w14:paraId="1C0F44F1" w14:textId="77777777" w:rsidTr="00FF5B2A">
        <w:tc>
          <w:tcPr>
            <w:tcW w:w="1726"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9507BA"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November 2022</w:t>
            </w:r>
          </w:p>
        </w:tc>
        <w:tc>
          <w:tcPr>
            <w:tcW w:w="1394"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5621B8"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p>
        </w:tc>
        <w:tc>
          <w:tcPr>
            <w:tcW w:w="188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585DB2" w14:textId="77777777" w:rsidR="00FF5B2A" w:rsidRPr="00FF5B2A" w:rsidRDefault="00FF5B2A" w:rsidP="00FF5B2A">
            <w:pPr>
              <w:spacing w:after="0" w:line="240" w:lineRule="auto"/>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November 2023</w:t>
            </w:r>
          </w:p>
        </w:tc>
      </w:tr>
    </w:tbl>
    <w:p w14:paraId="10D48BC6"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502E393"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This policy will be reviewed on a yearly basis. However, if at any time the legislative, policy or funding environment is so altered that the policy is no longer appropriate in its current form, the policy shall be reviewed immediately and amended accordingly.</w:t>
      </w:r>
    </w:p>
    <w:p w14:paraId="1AE16488" w14:textId="77777777" w:rsidR="00FF5B2A" w:rsidRPr="00FF5B2A" w:rsidRDefault="00FF5B2A" w:rsidP="00FF5B2A">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F5B2A">
        <w:rPr>
          <w:rFonts w:ascii="Montserrat" w:eastAsia="Times New Roman" w:hAnsi="Montserrat" w:cs="Times New Roman"/>
          <w:b/>
          <w:bCs/>
          <w:color w:val="DA591F"/>
          <w:kern w:val="0"/>
          <w:sz w:val="44"/>
          <w:szCs w:val="44"/>
          <w:bdr w:val="none" w:sz="0" w:space="0" w:color="auto" w:frame="1"/>
          <w:lang w:eastAsia="en-AU"/>
          <w14:ligatures w14:val="none"/>
        </w:rPr>
        <w:t>Restrictive Practices Procedure</w:t>
      </w:r>
    </w:p>
    <w:p w14:paraId="53DA7EFC" w14:textId="77777777" w:rsidR="00FF5B2A" w:rsidRPr="00FF5B2A" w:rsidRDefault="00FF5B2A" w:rsidP="00FF5B2A">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F5B2A">
        <w:rPr>
          <w:rFonts w:ascii="Montserrat" w:eastAsia="Times New Roman" w:hAnsi="Montserrat" w:cs="Times New Roman"/>
          <w:b/>
          <w:bCs/>
          <w:color w:val="FCB53B"/>
          <w:kern w:val="0"/>
          <w:sz w:val="36"/>
          <w:szCs w:val="36"/>
          <w:bdr w:val="none" w:sz="0" w:space="0" w:color="auto" w:frame="1"/>
          <w:lang w:eastAsia="en-AU"/>
          <w14:ligatures w14:val="none"/>
        </w:rPr>
        <w:t>Banksia Care staff who work directly with members are responsible for the following:</w:t>
      </w:r>
    </w:p>
    <w:p w14:paraId="004671A0" w14:textId="77777777" w:rsidR="00FF5B2A" w:rsidRPr="00FF5B2A" w:rsidRDefault="00FF5B2A" w:rsidP="00FF5B2A">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Understand changes in behaviour.</w:t>
      </w:r>
    </w:p>
    <w:p w14:paraId="2981C611" w14:textId="77777777" w:rsidR="00FF5B2A" w:rsidRPr="00FF5B2A" w:rsidRDefault="00FF5B2A" w:rsidP="00FF5B2A">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When a client is displaying any changes in their behaviour, a full assessment of behaviour contributors needs to be reviewed to determine what the cause is. When assessing the behaviour, the following should be considered:</w:t>
      </w:r>
    </w:p>
    <w:p w14:paraId="729843D4" w14:textId="77777777" w:rsidR="00FF5B2A" w:rsidRPr="00FF5B2A" w:rsidRDefault="00FF5B2A" w:rsidP="00FF5B2A">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abilities</w:t>
      </w:r>
    </w:p>
    <w:p w14:paraId="566F1972" w14:textId="77777777" w:rsidR="00FF5B2A" w:rsidRPr="00FF5B2A" w:rsidRDefault="00FF5B2A" w:rsidP="00FF5B2A">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cultural differences</w:t>
      </w:r>
    </w:p>
    <w:p w14:paraId="7F3006F2" w14:textId="77777777" w:rsidR="00FF5B2A" w:rsidRPr="00FF5B2A" w:rsidRDefault="00FF5B2A" w:rsidP="00FF5B2A">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spellStart"/>
      <w:r w:rsidRPr="00FF5B2A">
        <w:rPr>
          <w:rFonts w:ascii="Montserrat" w:eastAsia="Times New Roman" w:hAnsi="Montserrat" w:cs="Times New Roman"/>
          <w:color w:val="5F646A"/>
          <w:kern w:val="0"/>
          <w:sz w:val="23"/>
          <w:szCs w:val="23"/>
          <w:lang w:eastAsia="en-AU"/>
          <w14:ligatures w14:val="none"/>
        </w:rPr>
        <w:t>lingusitc</w:t>
      </w:r>
      <w:proofErr w:type="spellEnd"/>
      <w:r w:rsidRPr="00FF5B2A">
        <w:rPr>
          <w:rFonts w:ascii="Montserrat" w:eastAsia="Times New Roman" w:hAnsi="Montserrat" w:cs="Times New Roman"/>
          <w:color w:val="5F646A"/>
          <w:kern w:val="0"/>
          <w:sz w:val="23"/>
          <w:szCs w:val="23"/>
          <w:lang w:eastAsia="en-AU"/>
          <w14:ligatures w14:val="none"/>
        </w:rPr>
        <w:t xml:space="preserve"> differences</w:t>
      </w:r>
    </w:p>
    <w:p w14:paraId="70877EA0" w14:textId="77777777" w:rsidR="00FF5B2A" w:rsidRPr="00FF5B2A" w:rsidRDefault="00FF5B2A" w:rsidP="00FF5B2A">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religious beliefs</w:t>
      </w:r>
    </w:p>
    <w:p w14:paraId="1911C520" w14:textId="77777777" w:rsidR="00FF5B2A" w:rsidRPr="00FF5B2A" w:rsidRDefault="00FF5B2A" w:rsidP="00FF5B2A">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life experience.</w:t>
      </w:r>
    </w:p>
    <w:p w14:paraId="59C41FFC" w14:textId="77777777" w:rsidR="00FF5B2A" w:rsidRPr="00FF5B2A" w:rsidRDefault="00FF5B2A" w:rsidP="00FF5B2A">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Understand the restraint types.</w:t>
      </w:r>
    </w:p>
    <w:p w14:paraId="540BEBB3" w14:textId="77777777" w:rsidR="00FF5B2A" w:rsidRPr="00FF5B2A" w:rsidRDefault="00FF5B2A" w:rsidP="00FF5B2A">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F5B2A">
        <w:rPr>
          <w:rFonts w:ascii="Montserrat" w:eastAsia="Times New Roman" w:hAnsi="Montserrat" w:cs="Times New Roman"/>
          <w:b/>
          <w:bCs/>
          <w:color w:val="FCB53B"/>
          <w:kern w:val="0"/>
          <w:sz w:val="36"/>
          <w:szCs w:val="36"/>
          <w:bdr w:val="none" w:sz="0" w:space="0" w:color="auto" w:frame="1"/>
          <w:lang w:eastAsia="en-AU"/>
          <w14:ligatures w14:val="none"/>
        </w:rPr>
        <w:t>Restraint Types</w:t>
      </w:r>
    </w:p>
    <w:p w14:paraId="685E141B"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restraint is any measure that physically withholds a resident from moving freely and withholds basic human rights or needs. It may be withholding food, warmth, clothing, positive social interactions, client’s goods/belongings or favoured activity to control behaviour management when a client exhibits challenging behaviours.</w:t>
      </w:r>
    </w:p>
    <w:p w14:paraId="7C364717"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restraint can be any of the below, but not limited to:</w:t>
      </w:r>
    </w:p>
    <w:p w14:paraId="49524427"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lap belts/posy restraints or similar</w:t>
      </w:r>
    </w:p>
    <w:p w14:paraId="740D5D50"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FF5B2A">
        <w:rPr>
          <w:rFonts w:ascii="Montserrat" w:eastAsia="Times New Roman" w:hAnsi="Montserrat" w:cs="Times New Roman"/>
          <w:color w:val="5F646A"/>
          <w:kern w:val="0"/>
          <w:sz w:val="23"/>
          <w:szCs w:val="23"/>
          <w:lang w:eastAsia="en-AU"/>
          <w14:ligatures w14:val="none"/>
        </w:rPr>
        <w:t>table tops</w:t>
      </w:r>
      <w:proofErr w:type="gramEnd"/>
    </w:p>
    <w:p w14:paraId="3FC1BB67"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bed rails</w:t>
      </w:r>
    </w:p>
    <w:p w14:paraId="063F2348"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chairs that are difficult to get out of, such as bean bags or similar</w:t>
      </w:r>
    </w:p>
    <w:p w14:paraId="3F3931DC"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low bed that are used to prevent a client who can mobilise independently from getting up independently</w:t>
      </w:r>
    </w:p>
    <w:p w14:paraId="103AA150"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removing mobility aids from clients who require their use</w:t>
      </w:r>
    </w:p>
    <w:p w14:paraId="344B2C1E"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physical force ‘hands-on’, no matter how gentle hands-on may be, is a form of restraint as it minimises the resident’s mobility</w:t>
      </w:r>
    </w:p>
    <w:p w14:paraId="42E83B43"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psychological measures where a belief has been created that acts to limit the client’s mobility, for example, placing tape across a doorway</w:t>
      </w:r>
    </w:p>
    <w:p w14:paraId="6236544D" w14:textId="77777777" w:rsidR="00FF5B2A" w:rsidRPr="00FF5B2A" w:rsidRDefault="00FF5B2A" w:rsidP="00FF5B2A">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any unpleasant physical, sensory or verbal stimuli, for example, voice tone, command/threat that is used to limit the client’s mobility </w:t>
      </w:r>
      <w:proofErr w:type="gramStart"/>
      <w:r w:rsidRPr="00FF5B2A">
        <w:rPr>
          <w:rFonts w:ascii="Montserrat" w:eastAsia="Times New Roman" w:hAnsi="Montserrat" w:cs="Times New Roman"/>
          <w:color w:val="5F646A"/>
          <w:kern w:val="0"/>
          <w:sz w:val="23"/>
          <w:szCs w:val="23"/>
          <w:lang w:eastAsia="en-AU"/>
          <w14:ligatures w14:val="none"/>
        </w:rPr>
        <w:t>in an attempt to</w:t>
      </w:r>
      <w:proofErr w:type="gramEnd"/>
      <w:r w:rsidRPr="00FF5B2A">
        <w:rPr>
          <w:rFonts w:ascii="Montserrat" w:eastAsia="Times New Roman" w:hAnsi="Montserrat" w:cs="Times New Roman"/>
          <w:color w:val="5F646A"/>
          <w:kern w:val="0"/>
          <w:sz w:val="23"/>
          <w:szCs w:val="23"/>
          <w:lang w:eastAsia="en-AU"/>
          <w14:ligatures w14:val="none"/>
        </w:rPr>
        <w:t xml:space="preserve"> reduce the client’s undesired behaviour.</w:t>
      </w:r>
    </w:p>
    <w:p w14:paraId="594CFB71"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Environmental restraint is any measure restricting the client’s movement without their explicit and informed consent.</w:t>
      </w:r>
    </w:p>
    <w:p w14:paraId="79570659"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Environmental restraint can be any of the below, but not limited to:</w:t>
      </w:r>
    </w:p>
    <w:p w14:paraId="1A9B7E8B" w14:textId="77777777" w:rsidR="00FF5B2A" w:rsidRPr="00FF5B2A" w:rsidRDefault="00FF5B2A" w:rsidP="00FF5B2A">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limiting a client to a particular environment, for example, confining a client to their bedroom and excluding them from an area to which they want to go</w:t>
      </w:r>
    </w:p>
    <w:p w14:paraId="5A5257DC" w14:textId="77777777" w:rsidR="00FF5B2A" w:rsidRPr="00FF5B2A" w:rsidRDefault="00FF5B2A" w:rsidP="00FF5B2A">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restricting a client from accessing outside courtyards or sitting areas</w:t>
      </w:r>
    </w:p>
    <w:p w14:paraId="24018A0F" w14:textId="77777777" w:rsidR="00FF5B2A" w:rsidRPr="00FF5B2A" w:rsidRDefault="00FF5B2A" w:rsidP="00FF5B2A">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preventing a client from leaving the building.</w:t>
      </w:r>
    </w:p>
    <w:p w14:paraId="6A1A33F1"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Chemical restraint refers to any measure where any medications are given where no medical conditions have been identified and treated – either over prescribed to treat a condition or over the counter medications are used to alter a client’s behaviour, such as a drowsy tablet.</w:t>
      </w:r>
    </w:p>
    <w:p w14:paraId="0A47A43B"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Chemical restraint can be any of the below, but not limited to:</w:t>
      </w:r>
    </w:p>
    <w:p w14:paraId="797432B0" w14:textId="77777777" w:rsidR="00FF5B2A" w:rsidRPr="00FF5B2A" w:rsidRDefault="00FF5B2A" w:rsidP="00FF5B2A">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using medication to change a behaviour</w:t>
      </w:r>
    </w:p>
    <w:p w14:paraId="79C9802C" w14:textId="77777777" w:rsidR="00FF5B2A" w:rsidRPr="00FF5B2A" w:rsidRDefault="00FF5B2A" w:rsidP="00FF5B2A">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part of the intended pharmacological effect is to sedate the client</w:t>
      </w:r>
    </w:p>
    <w:p w14:paraId="42470A1A" w14:textId="77777777" w:rsidR="00FF5B2A" w:rsidRPr="00FF5B2A" w:rsidRDefault="00FF5B2A" w:rsidP="00FF5B2A">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over treatment of a medical condition.</w:t>
      </w:r>
    </w:p>
    <w:p w14:paraId="3A5B5380"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Seclusion is a practice or intervention that is, or that involves, the solitary confinement of a client in a room or a physical space. This can happen at any hour of the day or night for the primary purpose of influencing the client’s behaviour where:</w:t>
      </w:r>
    </w:p>
    <w:p w14:paraId="5C9F16FC" w14:textId="77777777" w:rsidR="00FF5B2A" w:rsidRPr="00FF5B2A" w:rsidRDefault="00FF5B2A" w:rsidP="00FF5B2A">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voluntary exit is prevented or not </w:t>
      </w:r>
      <w:proofErr w:type="gramStart"/>
      <w:r w:rsidRPr="00FF5B2A">
        <w:rPr>
          <w:rFonts w:ascii="Montserrat" w:eastAsia="Times New Roman" w:hAnsi="Montserrat" w:cs="Times New Roman"/>
          <w:color w:val="5F646A"/>
          <w:kern w:val="0"/>
          <w:sz w:val="23"/>
          <w:szCs w:val="23"/>
          <w:lang w:eastAsia="en-AU"/>
          <w14:ligatures w14:val="none"/>
        </w:rPr>
        <w:t>facilitated;</w:t>
      </w:r>
      <w:proofErr w:type="gramEnd"/>
    </w:p>
    <w:p w14:paraId="5E41B84F" w14:textId="77777777" w:rsidR="00FF5B2A" w:rsidRPr="00FF5B2A" w:rsidRDefault="00FF5B2A" w:rsidP="00FF5B2A">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it is implied that voluntary exit is not permitted; or</w:t>
      </w:r>
    </w:p>
    <w:p w14:paraId="1A4884B8" w14:textId="77777777" w:rsidR="00FF5B2A" w:rsidRPr="00FF5B2A" w:rsidRDefault="00FF5B2A" w:rsidP="00FF5B2A">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for the primary purpose of influencing a client’s behaviour.</w:t>
      </w:r>
    </w:p>
    <w:p w14:paraId="6B184E66"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Seclusion involves the solitary confinement of a client. Examples of seclusion include, but are not limited to:</w:t>
      </w:r>
    </w:p>
    <w:p w14:paraId="1E848ACE" w14:textId="77777777" w:rsidR="00FF5B2A" w:rsidRPr="00FF5B2A" w:rsidRDefault="00FF5B2A" w:rsidP="00FF5B2A">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locking a client in their room or other areas of the facility</w:t>
      </w:r>
    </w:p>
    <w:p w14:paraId="5DCDBC1A" w14:textId="77777777" w:rsidR="00FF5B2A" w:rsidRPr="00FF5B2A" w:rsidRDefault="00FF5B2A" w:rsidP="00FF5B2A">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 xml:space="preserve">ordering a client to a specific area within the facility with them believing they are not permitted to </w:t>
      </w:r>
      <w:proofErr w:type="gramStart"/>
      <w:r w:rsidRPr="00FF5B2A">
        <w:rPr>
          <w:rFonts w:ascii="Montserrat" w:eastAsia="Times New Roman" w:hAnsi="Montserrat" w:cs="Times New Roman"/>
          <w:color w:val="5F646A"/>
          <w:kern w:val="0"/>
          <w:sz w:val="23"/>
          <w:szCs w:val="23"/>
          <w:lang w:eastAsia="en-AU"/>
          <w14:ligatures w14:val="none"/>
        </w:rPr>
        <w:t>leave;</w:t>
      </w:r>
      <w:proofErr w:type="gramEnd"/>
    </w:p>
    <w:p w14:paraId="38B62549" w14:textId="77777777" w:rsidR="00FF5B2A" w:rsidRPr="00FF5B2A" w:rsidRDefault="00FF5B2A" w:rsidP="00FF5B2A">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staff and other clients retreating to other rooms whilst the client is unable to follow.</w:t>
      </w:r>
    </w:p>
    <w:p w14:paraId="3EC13451" w14:textId="77777777" w:rsidR="00FF5B2A" w:rsidRPr="00FF5B2A" w:rsidRDefault="00FF5B2A" w:rsidP="00FF5B2A">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F5B2A">
        <w:rPr>
          <w:rFonts w:ascii="Montserrat" w:eastAsia="Times New Roman" w:hAnsi="Montserrat" w:cs="Times New Roman"/>
          <w:b/>
          <w:bCs/>
          <w:color w:val="FCB53B"/>
          <w:kern w:val="0"/>
          <w:sz w:val="36"/>
          <w:szCs w:val="36"/>
          <w:bdr w:val="none" w:sz="0" w:space="0" w:color="auto" w:frame="1"/>
          <w:lang w:eastAsia="en-AU"/>
          <w14:ligatures w14:val="none"/>
        </w:rPr>
        <w:t>Strategies for Reducing the Uses of Restraints</w:t>
      </w:r>
    </w:p>
    <w:p w14:paraId="1500D641"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Environmental:</w:t>
      </w:r>
    </w:p>
    <w:p w14:paraId="5C283262"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reducing the noise around the client</w:t>
      </w:r>
    </w:p>
    <w:p w14:paraId="0D21D157"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creating a quiet area for clients to use</w:t>
      </w:r>
    </w:p>
    <w:p w14:paraId="6568B41F"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creating a familiar environment for the client, use/provide familiar objects from the client’s previous residence</w:t>
      </w:r>
    </w:p>
    <w:p w14:paraId="7CD2E7F8"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using appropriate visual reminders and signage to aid orientation to the client</w:t>
      </w:r>
    </w:p>
    <w:p w14:paraId="421A05B6"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implement structured routines for the clients</w:t>
      </w:r>
    </w:p>
    <w:p w14:paraId="7B59F141" w14:textId="77777777" w:rsidR="00FF5B2A" w:rsidRPr="00FF5B2A" w:rsidRDefault="00FF5B2A" w:rsidP="00FF5B2A">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checking on ‘at risk’ clients regularly.</w:t>
      </w:r>
    </w:p>
    <w:p w14:paraId="44893829"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Psychosocial programs:</w:t>
      </w:r>
    </w:p>
    <w:p w14:paraId="5F3C45F3"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companionship</w:t>
      </w:r>
    </w:p>
    <w:p w14:paraId="265458F1"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active listening</w:t>
      </w:r>
    </w:p>
    <w:p w14:paraId="0CE4CAFA"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encouraging visitors</w:t>
      </w:r>
    </w:p>
    <w:p w14:paraId="404B9FDA"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therapeutic touch or massage</w:t>
      </w:r>
    </w:p>
    <w:p w14:paraId="30404F87"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relaxation programs</w:t>
      </w:r>
    </w:p>
    <w:p w14:paraId="2E37C603"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reality orientation or validation</w:t>
      </w:r>
    </w:p>
    <w:p w14:paraId="2CB41E02"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increase or decrease (depending on the client) sensory stimulation</w:t>
      </w:r>
    </w:p>
    <w:p w14:paraId="14F0000E" w14:textId="77777777" w:rsidR="00FF5B2A" w:rsidRPr="00FF5B2A" w:rsidRDefault="00FF5B2A" w:rsidP="00FF5B2A">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structured group</w:t>
      </w:r>
    </w:p>
    <w:p w14:paraId="563EDDF2"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Physiological strategies:</w:t>
      </w:r>
    </w:p>
    <w:p w14:paraId="44D563FB" w14:textId="77777777" w:rsidR="00FF5B2A" w:rsidRPr="00FF5B2A" w:rsidRDefault="00FF5B2A" w:rsidP="00FF5B2A">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comprehensive medical review, including medications (nursing and medical staff only)</w:t>
      </w:r>
    </w:p>
    <w:p w14:paraId="49697092" w14:textId="77777777" w:rsidR="00FF5B2A" w:rsidRPr="00FF5B2A" w:rsidRDefault="00FF5B2A" w:rsidP="00FF5B2A">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treat infections (nursing and medical staff only)</w:t>
      </w:r>
    </w:p>
    <w:p w14:paraId="6D106974" w14:textId="77777777" w:rsidR="00FF5B2A" w:rsidRPr="00FF5B2A" w:rsidRDefault="00FF5B2A" w:rsidP="00FF5B2A">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treat pain appropriately (nursing and medical staff only)</w:t>
      </w:r>
    </w:p>
    <w:p w14:paraId="29AA6DDE" w14:textId="77777777" w:rsidR="00FF5B2A" w:rsidRPr="00FF5B2A" w:rsidRDefault="00FF5B2A" w:rsidP="00FF5B2A">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physiological alternatives to sedation, such as warm milk/soothing music/meditation moments.</w:t>
      </w:r>
    </w:p>
    <w:p w14:paraId="0A45B8B1" w14:textId="77777777" w:rsidR="00FF5B2A" w:rsidRPr="00FF5B2A" w:rsidRDefault="00FF5B2A" w:rsidP="00FF5B2A">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F5B2A">
        <w:rPr>
          <w:rFonts w:ascii="Montserrat" w:eastAsia="Times New Roman" w:hAnsi="Montserrat" w:cs="Times New Roman"/>
          <w:b/>
          <w:bCs/>
          <w:color w:val="FCB53B"/>
          <w:kern w:val="0"/>
          <w:sz w:val="36"/>
          <w:szCs w:val="36"/>
          <w:bdr w:val="none" w:sz="0" w:space="0" w:color="auto" w:frame="1"/>
          <w:lang w:eastAsia="en-AU"/>
          <w14:ligatures w14:val="none"/>
        </w:rPr>
        <w:t>When Restraints can be Used</w:t>
      </w:r>
    </w:p>
    <w:p w14:paraId="2FCB0604" w14:textId="77777777" w:rsidR="00FF5B2A" w:rsidRPr="00FF5B2A" w:rsidRDefault="00FF5B2A" w:rsidP="00FF5B2A">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following requirements must be met for the use of any restrictive practice in relation to a residential aged care recipient.</w:t>
      </w:r>
    </w:p>
    <w:p w14:paraId="1AB28546" w14:textId="77777777" w:rsidR="00FF5B2A" w:rsidRPr="00FF5B2A" w:rsidRDefault="00FF5B2A" w:rsidP="00FF5B2A">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Restrictive practices must only be used as a last resort to prevent harm to the care recipient or other persons. They must only be used after consideration of the likely impact on the care recipient.</w:t>
      </w:r>
    </w:p>
    <w:p w14:paraId="4DAF7C49" w14:textId="77777777" w:rsidR="00FF5B2A" w:rsidRPr="00FF5B2A" w:rsidRDefault="00FF5B2A" w:rsidP="00FF5B2A">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Best practice alternative behaviour support strategies have been used before the restrictive practice is applied, and the use of these strategies has been documented.</w:t>
      </w:r>
    </w:p>
    <w:p w14:paraId="603FDCA7" w14:textId="77777777" w:rsidR="00FF5B2A" w:rsidRPr="00FF5B2A" w:rsidRDefault="00FF5B2A" w:rsidP="00FF5B2A">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Restrictive practices must only be used in proportion to the risk of harm, in the least restrictive form, and for the shortest period possible.</w:t>
      </w:r>
    </w:p>
    <w:p w14:paraId="0D00CE3C" w14:textId="77777777" w:rsidR="00FF5B2A" w:rsidRPr="00FF5B2A" w:rsidRDefault="00FF5B2A" w:rsidP="00FF5B2A">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use of restrictive practices must be monitored, reviewed and documented.</w:t>
      </w:r>
    </w:p>
    <w:p w14:paraId="72F485EC" w14:textId="77777777" w:rsidR="00FF5B2A" w:rsidRPr="00FF5B2A" w:rsidRDefault="00FF5B2A" w:rsidP="00FF5B2A">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lastRenderedPageBreak/>
        <w:t>Alternative strategies must be considered, including if the restrictive practice can be reduced or stopped.</w:t>
      </w:r>
    </w:p>
    <w:p w14:paraId="29C29C6E" w14:textId="77777777" w:rsidR="00FF5B2A" w:rsidRPr="00FF5B2A" w:rsidRDefault="00FF5B2A" w:rsidP="00FF5B2A">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Informed consent for the use of restrictive practices must be obtained from the care recipient. If the care recipient does not have the capacity to give that consent, it must be obtained from their restrictive practice substitute decision maker.</w:t>
      </w:r>
    </w:p>
    <w:p w14:paraId="29F7FECE" w14:textId="77777777" w:rsidR="00FF5B2A" w:rsidRPr="00FF5B2A" w:rsidRDefault="00FF5B2A" w:rsidP="00FF5B2A">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use of the restrictive practice must comply with the User Rights Principles and Quality Standards.</w:t>
      </w:r>
    </w:p>
    <w:p w14:paraId="29F6EC52" w14:textId="77777777" w:rsidR="00FF5B2A" w:rsidRPr="00FF5B2A" w:rsidRDefault="00FF5B2A" w:rsidP="00FF5B2A">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F5B2A">
        <w:rPr>
          <w:rFonts w:ascii="Montserrat" w:eastAsia="Times New Roman" w:hAnsi="Montserrat" w:cs="Times New Roman"/>
          <w:color w:val="5F646A"/>
          <w:kern w:val="0"/>
          <w:sz w:val="23"/>
          <w:szCs w:val="23"/>
          <w:lang w:eastAsia="en-AU"/>
          <w14:ligatures w14:val="none"/>
        </w:rPr>
        <w:t>The use of a restrictive practice must be continually monitored, reviewed and documented.</w:t>
      </w:r>
    </w:p>
    <w:p w14:paraId="1970F70C"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82C"/>
    <w:multiLevelType w:val="multilevel"/>
    <w:tmpl w:val="4762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A273E"/>
    <w:multiLevelType w:val="multilevel"/>
    <w:tmpl w:val="421458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D3BCC"/>
    <w:multiLevelType w:val="multilevel"/>
    <w:tmpl w:val="5C5C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9322A2"/>
    <w:multiLevelType w:val="multilevel"/>
    <w:tmpl w:val="D2D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52172B"/>
    <w:multiLevelType w:val="multilevel"/>
    <w:tmpl w:val="F51C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02BBE"/>
    <w:multiLevelType w:val="multilevel"/>
    <w:tmpl w:val="8CCE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8F4A55"/>
    <w:multiLevelType w:val="multilevel"/>
    <w:tmpl w:val="B2E4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935DE0"/>
    <w:multiLevelType w:val="multilevel"/>
    <w:tmpl w:val="5A56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8901B4"/>
    <w:multiLevelType w:val="multilevel"/>
    <w:tmpl w:val="1A3A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3F2A60"/>
    <w:multiLevelType w:val="multilevel"/>
    <w:tmpl w:val="C9BC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434E42"/>
    <w:multiLevelType w:val="multilevel"/>
    <w:tmpl w:val="1FE8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783E92"/>
    <w:multiLevelType w:val="multilevel"/>
    <w:tmpl w:val="29FC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A48093B"/>
    <w:multiLevelType w:val="multilevel"/>
    <w:tmpl w:val="A1D6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3A6443"/>
    <w:multiLevelType w:val="multilevel"/>
    <w:tmpl w:val="79BC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374399"/>
    <w:multiLevelType w:val="multilevel"/>
    <w:tmpl w:val="0006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D06831"/>
    <w:multiLevelType w:val="multilevel"/>
    <w:tmpl w:val="EAE0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F00F14"/>
    <w:multiLevelType w:val="multilevel"/>
    <w:tmpl w:val="4464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7636458">
    <w:abstractNumId w:val="14"/>
  </w:num>
  <w:num w:numId="2" w16cid:durableId="1074350773">
    <w:abstractNumId w:val="11"/>
  </w:num>
  <w:num w:numId="3" w16cid:durableId="1146123270">
    <w:abstractNumId w:val="8"/>
  </w:num>
  <w:num w:numId="4" w16cid:durableId="1399327968">
    <w:abstractNumId w:val="12"/>
  </w:num>
  <w:num w:numId="5" w16cid:durableId="309940777">
    <w:abstractNumId w:val="7"/>
  </w:num>
  <w:num w:numId="6" w16cid:durableId="982612737">
    <w:abstractNumId w:val="15"/>
  </w:num>
  <w:num w:numId="7" w16cid:durableId="1585993677">
    <w:abstractNumId w:val="1"/>
  </w:num>
  <w:num w:numId="8" w16cid:durableId="275135704">
    <w:abstractNumId w:val="5"/>
  </w:num>
  <w:num w:numId="9" w16cid:durableId="1159342179">
    <w:abstractNumId w:val="13"/>
  </w:num>
  <w:num w:numId="10" w16cid:durableId="114299240">
    <w:abstractNumId w:val="6"/>
  </w:num>
  <w:num w:numId="11" w16cid:durableId="301234816">
    <w:abstractNumId w:val="16"/>
  </w:num>
  <w:num w:numId="12" w16cid:durableId="1418408059">
    <w:abstractNumId w:val="10"/>
  </w:num>
  <w:num w:numId="13" w16cid:durableId="224032398">
    <w:abstractNumId w:val="3"/>
  </w:num>
  <w:num w:numId="14" w16cid:durableId="912011020">
    <w:abstractNumId w:val="0"/>
  </w:num>
  <w:num w:numId="15" w16cid:durableId="492524464">
    <w:abstractNumId w:val="4"/>
  </w:num>
  <w:num w:numId="16" w16cid:durableId="930118620">
    <w:abstractNumId w:val="9"/>
  </w:num>
  <w:num w:numId="17" w16cid:durableId="843784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2A"/>
    <w:rsid w:val="00172A97"/>
    <w:rsid w:val="00CD101A"/>
    <w:rsid w:val="00D36CFE"/>
    <w:rsid w:val="00FF5B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0BF22"/>
  <w15:chartTrackingRefBased/>
  <w15:docId w15:val="{E0535B9F-81AC-4347-8DB4-5231CD7B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B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B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B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B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B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B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B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B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B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B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B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B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B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B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B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B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B2A"/>
    <w:rPr>
      <w:rFonts w:eastAsiaTheme="majorEastAsia" w:cstheme="majorBidi"/>
      <w:color w:val="272727" w:themeColor="text1" w:themeTint="D8"/>
    </w:rPr>
  </w:style>
  <w:style w:type="paragraph" w:styleId="Title">
    <w:name w:val="Title"/>
    <w:basedOn w:val="Normal"/>
    <w:next w:val="Normal"/>
    <w:link w:val="TitleChar"/>
    <w:uiPriority w:val="10"/>
    <w:qFormat/>
    <w:rsid w:val="00FF5B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B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B2A"/>
    <w:pPr>
      <w:spacing w:before="160"/>
      <w:jc w:val="center"/>
    </w:pPr>
    <w:rPr>
      <w:i/>
      <w:iCs/>
      <w:color w:val="404040" w:themeColor="text1" w:themeTint="BF"/>
    </w:rPr>
  </w:style>
  <w:style w:type="character" w:customStyle="1" w:styleId="QuoteChar">
    <w:name w:val="Quote Char"/>
    <w:basedOn w:val="DefaultParagraphFont"/>
    <w:link w:val="Quote"/>
    <w:uiPriority w:val="29"/>
    <w:rsid w:val="00FF5B2A"/>
    <w:rPr>
      <w:i/>
      <w:iCs/>
      <w:color w:val="404040" w:themeColor="text1" w:themeTint="BF"/>
    </w:rPr>
  </w:style>
  <w:style w:type="paragraph" w:styleId="ListParagraph">
    <w:name w:val="List Paragraph"/>
    <w:basedOn w:val="Normal"/>
    <w:uiPriority w:val="34"/>
    <w:qFormat/>
    <w:rsid w:val="00FF5B2A"/>
    <w:pPr>
      <w:ind w:left="720"/>
      <w:contextualSpacing/>
    </w:pPr>
  </w:style>
  <w:style w:type="character" w:styleId="IntenseEmphasis">
    <w:name w:val="Intense Emphasis"/>
    <w:basedOn w:val="DefaultParagraphFont"/>
    <w:uiPriority w:val="21"/>
    <w:qFormat/>
    <w:rsid w:val="00FF5B2A"/>
    <w:rPr>
      <w:i/>
      <w:iCs/>
      <w:color w:val="0F4761" w:themeColor="accent1" w:themeShade="BF"/>
    </w:rPr>
  </w:style>
  <w:style w:type="paragraph" w:styleId="IntenseQuote">
    <w:name w:val="Intense Quote"/>
    <w:basedOn w:val="Normal"/>
    <w:next w:val="Normal"/>
    <w:link w:val="IntenseQuoteChar"/>
    <w:uiPriority w:val="30"/>
    <w:qFormat/>
    <w:rsid w:val="00FF5B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B2A"/>
    <w:rPr>
      <w:i/>
      <w:iCs/>
      <w:color w:val="0F4761" w:themeColor="accent1" w:themeShade="BF"/>
    </w:rPr>
  </w:style>
  <w:style w:type="character" w:styleId="IntenseReference">
    <w:name w:val="Intense Reference"/>
    <w:basedOn w:val="DefaultParagraphFont"/>
    <w:uiPriority w:val="32"/>
    <w:qFormat/>
    <w:rsid w:val="00FF5B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35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dcarequality.gov.au/sites/default/files/media/overview-of-restrictive-practices_0.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gedcarequality.gov.au/sites/default/files/media/overview-of-restrictive-practices_0.pdf" TargetMode="External"/><Relationship Id="rId12" Type="http://schemas.openxmlformats.org/officeDocument/2006/relationships/hyperlink" Target="https://www.dementia.com.au/behaviour-support-plans"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hyperlink" Target="https://www.agedcarequality.gov.au/sites/default/files/media/overview-of-restrictive-practices_0.pdf" TargetMode="External"/><Relationship Id="rId11" Type="http://schemas.openxmlformats.org/officeDocument/2006/relationships/hyperlink" Target="https://www.elvescare.com.au/behaviour-of-concern/" TargetMode="External"/><Relationship Id="rId5" Type="http://schemas.openxmlformats.org/officeDocument/2006/relationships/hyperlink" Target="https://www.agedcarequality.gov.au/sites/default/files/media/overview-of-restrictive-practices_0.pdf" TargetMode="External"/><Relationship Id="rId15" Type="http://schemas.openxmlformats.org/officeDocument/2006/relationships/customXml" Target="../customXml/item1.xml"/><Relationship Id="rId10" Type="http://schemas.openxmlformats.org/officeDocument/2006/relationships/hyperlink" Target="https://www.agedcarequality.gov.au/sites/default/files/media/overview-of-restrictive-practices_0.pdf" TargetMode="External"/><Relationship Id="rId4" Type="http://schemas.openxmlformats.org/officeDocument/2006/relationships/webSettings" Target="webSettings.xml"/><Relationship Id="rId9" Type="http://schemas.openxmlformats.org/officeDocument/2006/relationships/hyperlink" Target="https://www.agedcarequality.gov.au/sites/default/files/media/overview-of-restrictive-practices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E19C0F6-B7B4-416D-97F8-4C5072E8DF46}"/>
</file>

<file path=customXml/itemProps2.xml><?xml version="1.0" encoding="utf-8"?>
<ds:datastoreItem xmlns:ds="http://schemas.openxmlformats.org/officeDocument/2006/customXml" ds:itemID="{6760FEA6-3E87-48E7-8E0A-59B50A3A01C3}"/>
</file>

<file path=customXml/itemProps3.xml><?xml version="1.0" encoding="utf-8"?>
<ds:datastoreItem xmlns:ds="http://schemas.openxmlformats.org/officeDocument/2006/customXml" ds:itemID="{B130C472-4490-4154-8D6E-66EA69D9DB2B}"/>
</file>

<file path=docProps/app.xml><?xml version="1.0" encoding="utf-8"?>
<Properties xmlns="http://schemas.openxmlformats.org/officeDocument/2006/extended-properties" xmlns:vt="http://schemas.openxmlformats.org/officeDocument/2006/docPropsVTypes">
  <Template>Normal</Template>
  <TotalTime>7</TotalTime>
  <Pages>9</Pages>
  <Words>2103</Words>
  <Characters>11992</Characters>
  <Application>Microsoft Office Word</Application>
  <DocSecurity>0</DocSecurity>
  <Lines>99</Lines>
  <Paragraphs>28</Paragraphs>
  <ScaleCrop>false</ScaleCrop>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2025-04-29T04:14:00Z</dcterms:created>
  <dcterms:modified xsi:type="dcterms:W3CDTF">2025-04-29T04:21:00Z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