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C2E32" w14:textId="77777777" w:rsidR="002B05C2" w:rsidRPr="002B05C2" w:rsidRDefault="002B05C2" w:rsidP="002B05C2">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2B05C2">
        <w:rPr>
          <w:rFonts w:ascii="Montserrat" w:eastAsia="Times New Roman" w:hAnsi="Montserrat" w:cs="Times New Roman"/>
          <w:b/>
          <w:bCs/>
          <w:color w:val="006D5D"/>
          <w:kern w:val="36"/>
          <w:sz w:val="51"/>
          <w:szCs w:val="51"/>
          <w:bdr w:val="none" w:sz="0" w:space="0" w:color="auto" w:frame="1"/>
          <w:lang w:eastAsia="en-AU"/>
          <w14:ligatures w14:val="none"/>
        </w:rPr>
        <w:t>Safety and Risk Management Policy and Procedure</w:t>
      </w:r>
    </w:p>
    <w:p w14:paraId="293503BD" w14:textId="77777777" w:rsidR="002B05C2" w:rsidRPr="002B05C2" w:rsidRDefault="002B05C2" w:rsidP="002B05C2">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2B05C2">
        <w:rPr>
          <w:rFonts w:ascii="Montserrat" w:eastAsia="Times New Roman" w:hAnsi="Montserrat" w:cs="Times New Roman"/>
          <w:b/>
          <w:bCs/>
          <w:color w:val="006D5D"/>
          <w:kern w:val="36"/>
          <w:sz w:val="51"/>
          <w:szCs w:val="51"/>
          <w:bdr w:val="none" w:sz="0" w:space="0" w:color="auto" w:frame="1"/>
          <w:lang w:eastAsia="en-AU"/>
          <w14:ligatures w14:val="none"/>
        </w:rPr>
        <w:t>(AP1)</w:t>
      </w:r>
    </w:p>
    <w:p w14:paraId="71DD3FC0"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4FE39DA3"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 purpose of the Safety and Risk Management Policy at Banksia Care is to meet our duty of care requirements for all stakeholders by developing and supporting a service culture where risk assessments are routinely undertaken to minimise risk of all Banksia Care operations and ensure the safety of all.</w:t>
      </w:r>
    </w:p>
    <w:p w14:paraId="6A235DD7"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Scope</w:t>
      </w:r>
    </w:p>
    <w:p w14:paraId="69D3E2F6"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Banksia Care.</w:t>
      </w:r>
    </w:p>
    <w:p w14:paraId="00B6D9C1"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01CC6130"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 Royal Commission into Aged Care Quality and Safety (aged care royal commission) hearings (and others in industries outside our sector) illustrated the serious outcomes that occur when an organisation fails to manage risk with the level of attention it warrants. Banksia Care appreciates that the safety and wellbeing of everyone at our service are paramount to our core values and objectives. We also acknowledge that as far as reasonably practicable, we are responsible and accountable for the safety of all residents as well as anyone who is attending, visiting or providing services to Banksia Care. Due to their vulnerability, elderly people are susceptible to various risks, both within independent living arrangements and at aged care facilities. As managing risk is the responsibility of everyone, having the guidelines and ability to identify and manage risk increases everyone’s ability to make sound decisions.</w:t>
      </w:r>
    </w:p>
    <w:p w14:paraId="18B91807"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0FDB7C41" w14:textId="77777777" w:rsidR="002B05C2" w:rsidRPr="002B05C2" w:rsidRDefault="002B05C2" w:rsidP="002B05C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Public Administrations Act 2004.</w:t>
      </w:r>
    </w:p>
    <w:p w14:paraId="723A7B2D" w14:textId="77777777" w:rsidR="002B05C2" w:rsidRPr="002B05C2" w:rsidRDefault="002B05C2" w:rsidP="002B05C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Occupational Health and Safety Act 2004.</w:t>
      </w:r>
    </w:p>
    <w:p w14:paraId="48946053" w14:textId="77777777" w:rsidR="002B05C2" w:rsidRPr="002B05C2" w:rsidRDefault="002B05C2" w:rsidP="002B05C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Occupational Health and Safety Regulations 2017.</w:t>
      </w:r>
    </w:p>
    <w:p w14:paraId="7F4032D4" w14:textId="77777777" w:rsidR="002B05C2" w:rsidRPr="002B05C2" w:rsidRDefault="002B05C2" w:rsidP="002B05C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Australian and New Zealand Standard Risk Management Principles and Guidelines AS/NZS ISO 310002009</w:t>
      </w:r>
    </w:p>
    <w:p w14:paraId="5CEAF7AF"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3D2CDA67"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lastRenderedPageBreak/>
        <w:t>All decision-making about our </w:t>
      </w:r>
      <w:r w:rsidRPr="002B05C2">
        <w:rPr>
          <w:rFonts w:ascii="Montserrat" w:eastAsia="Times New Roman" w:hAnsi="Montserrat" w:cs="Times New Roman"/>
          <w:i/>
          <w:iCs/>
          <w:color w:val="5F646A"/>
          <w:kern w:val="0"/>
          <w:sz w:val="23"/>
          <w:szCs w:val="23"/>
          <w:bdr w:val="none" w:sz="0" w:space="0" w:color="auto" w:frame="1"/>
          <w:lang w:eastAsia="en-AU"/>
          <w14:ligatures w14:val="none"/>
        </w:rPr>
        <w:t>Safety and Risk Management Procedure</w:t>
      </w:r>
      <w:r w:rsidRPr="002B05C2">
        <w:rPr>
          <w:rFonts w:ascii="Montserrat" w:eastAsia="Times New Roman" w:hAnsi="Montserrat" w:cs="Times New Roman"/>
          <w:color w:val="5F646A"/>
          <w:kern w:val="0"/>
          <w:sz w:val="23"/>
          <w:szCs w:val="23"/>
          <w:lang w:eastAsia="en-AU"/>
          <w14:ligatures w14:val="none"/>
        </w:rPr>
        <w:t> is carried out in accordance with the principles of our </w:t>
      </w:r>
      <w:r w:rsidRPr="002B05C2">
        <w:rPr>
          <w:rFonts w:ascii="Montserrat" w:eastAsia="Times New Roman" w:hAnsi="Montserrat" w:cs="Times New Roman"/>
          <w:i/>
          <w:iCs/>
          <w:color w:val="5F646A"/>
          <w:kern w:val="0"/>
          <w:sz w:val="23"/>
          <w:szCs w:val="23"/>
          <w:bdr w:val="none" w:sz="0" w:space="0" w:color="auto" w:frame="1"/>
          <w:lang w:eastAsia="en-AU"/>
          <w14:ligatures w14:val="none"/>
        </w:rPr>
        <w:t>Safety and Risk Management Policy</w:t>
      </w:r>
      <w:r w:rsidRPr="002B05C2">
        <w:rPr>
          <w:rFonts w:ascii="Montserrat" w:eastAsia="Times New Roman" w:hAnsi="Montserrat" w:cs="Times New Roman"/>
          <w:color w:val="5F646A"/>
          <w:kern w:val="0"/>
          <w:sz w:val="23"/>
          <w:szCs w:val="23"/>
          <w:lang w:eastAsia="en-AU"/>
          <w14:ligatures w14:val="none"/>
        </w:rPr>
        <w:t>.</w:t>
      </w:r>
    </w:p>
    <w:p w14:paraId="7CC3757C"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Banksia Care identifies the following as areas of potential risks, particularly in relation to the elderly:</w:t>
      </w:r>
    </w:p>
    <w:p w14:paraId="717F0E9B"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theft</w:t>
      </w:r>
    </w:p>
    <w:p w14:paraId="32603430"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falling</w:t>
      </w:r>
    </w:p>
    <w:p w14:paraId="2FBEF439"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medication misuse</w:t>
      </w:r>
    </w:p>
    <w:p w14:paraId="4BABFFEE"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malnutrition</w:t>
      </w:r>
    </w:p>
    <w:p w14:paraId="20862368"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developing dementia</w:t>
      </w:r>
    </w:p>
    <w:p w14:paraId="55090D5E"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not being treated correctly for medical issues</w:t>
      </w:r>
    </w:p>
    <w:p w14:paraId="5752BF04"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depression</w:t>
      </w:r>
    </w:p>
    <w:p w14:paraId="1C76DD90" w14:textId="77777777" w:rsidR="002B05C2" w:rsidRPr="002B05C2" w:rsidRDefault="002B05C2" w:rsidP="002B05C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elder abuse.</w:t>
      </w:r>
    </w:p>
    <w:p w14:paraId="171EA060"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At Banksia Care, all risk assessments will:</w:t>
      </w:r>
    </w:p>
    <w:p w14:paraId="0CFB4C29"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outline the activity, location, participants and equipment</w:t>
      </w:r>
    </w:p>
    <w:p w14:paraId="1FA566BC"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identify potential hazards</w:t>
      </w:r>
    </w:p>
    <w:p w14:paraId="276309B9"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identify barriers to effective supervision</w:t>
      </w:r>
    </w:p>
    <w:p w14:paraId="1D78C65E"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record who is at risk of harm</w:t>
      </w:r>
    </w:p>
    <w:p w14:paraId="3D5EB48D"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identify the likelihood and severity of harm (including rating the risk outcome)</w:t>
      </w:r>
    </w:p>
    <w:p w14:paraId="75416C19"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record control measures</w:t>
      </w:r>
    </w:p>
    <w:p w14:paraId="69DCE3FB"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state any further action required</w:t>
      </w:r>
    </w:p>
    <w:p w14:paraId="5A22F969" w14:textId="77777777" w:rsidR="002B05C2" w:rsidRPr="002B05C2" w:rsidRDefault="002B05C2" w:rsidP="002B05C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be given a risk score using the tables in the Safety and Risk Management Procedure.</w:t>
      </w:r>
    </w:p>
    <w:p w14:paraId="0AC71A33"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14175"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876"/>
        <w:gridCol w:w="8766"/>
        <w:gridCol w:w="3533"/>
      </w:tblGrid>
      <w:tr w:rsidR="002B05C2" w:rsidRPr="002B05C2" w14:paraId="414A7257" w14:textId="77777777" w:rsidTr="002B05C2">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44BCF8"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12308A"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DCEBB0"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2B05C2" w:rsidRPr="002B05C2" w14:paraId="4DC385DE" w14:textId="77777777" w:rsidTr="002B05C2">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113E4F"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lastRenderedPageBreak/>
              <w:t>Hazard</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03A37"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 potential source of harm. Substances, events, or circumstances can constitute hazards when their nature would allow them, even just theoretically, to cause damage to health, life, property, or any other interest of value.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15F779"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Wikipedia</w:t>
            </w:r>
          </w:p>
        </w:tc>
      </w:tr>
      <w:tr w:rsidR="002B05C2" w:rsidRPr="002B05C2" w14:paraId="52E3435D" w14:textId="77777777" w:rsidTr="002B05C2">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F3763B"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Risk</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0B9471"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 probability of that harm being realised in a specific incident and the magnitude of potential harm make up its risk.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4A992E"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Wikipedia</w:t>
            </w:r>
          </w:p>
        </w:tc>
      </w:tr>
    </w:tbl>
    <w:p w14:paraId="739C35D3"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4AC9E733"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Administration of Medication P&amp;P</w:t>
      </w:r>
    </w:p>
    <w:p w14:paraId="3EB759A2"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Risk Assessment and Management Plan</w:t>
      </w:r>
    </w:p>
    <w:p w14:paraId="1AF667FB"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Medication Log</w:t>
      </w:r>
    </w:p>
    <w:p w14:paraId="79FFD0A3"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Incident, Injury, Illness and Trauma P&amp;P</w:t>
      </w:r>
    </w:p>
    <w:p w14:paraId="65F3EFDA"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Duty of Care P&amp;P</w:t>
      </w:r>
    </w:p>
    <w:p w14:paraId="5A457B19"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Staff Health and Wellbeing P&amp;P</w:t>
      </w:r>
    </w:p>
    <w:p w14:paraId="3690666B"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Workplace Health and Safety P&amp;P</w:t>
      </w:r>
    </w:p>
    <w:p w14:paraId="5CB5E5C5"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Emergency Management P&amp;P</w:t>
      </w:r>
    </w:p>
    <w:p w14:paraId="493C9AAC"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Hazard Report</w:t>
      </w:r>
    </w:p>
    <w:p w14:paraId="350685BD" w14:textId="77777777" w:rsidR="002B05C2" w:rsidRPr="002B05C2" w:rsidRDefault="002B05C2" w:rsidP="002B05C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Serious Incident Report</w:t>
      </w:r>
    </w:p>
    <w:p w14:paraId="5645618D"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EBC3969"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2B05C2">
        <w:rPr>
          <w:rFonts w:ascii="Montserrat" w:eastAsia="Times New Roman" w:hAnsi="Montserrat" w:cs="Times New Roman"/>
          <w:i/>
          <w:iCs/>
          <w:color w:val="5F646A"/>
          <w:kern w:val="0"/>
          <w:sz w:val="23"/>
          <w:szCs w:val="23"/>
          <w:bdr w:val="none" w:sz="0" w:space="0" w:color="auto" w:frame="1"/>
          <w:lang w:eastAsia="en-AU"/>
          <w14:ligatures w14:val="none"/>
        </w:rPr>
        <w:t>Safety and Risk Management Policy</w:t>
      </w:r>
      <w:r w:rsidRPr="002B05C2">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consultation at policy review sessions.</w:t>
      </w:r>
    </w:p>
    <w:p w14:paraId="55F34D28"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14175"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959"/>
        <w:gridCol w:w="6678"/>
        <w:gridCol w:w="3538"/>
      </w:tblGrid>
      <w:tr w:rsidR="002B05C2" w:rsidRPr="002B05C2" w14:paraId="6CDE0FDF" w14:textId="77777777" w:rsidTr="002B05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E3D377"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lastRenderedPageBreak/>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347790"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DBA88E"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2B05C2" w:rsidRPr="002B05C2" w14:paraId="1A8684C0" w14:textId="77777777" w:rsidTr="002B05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13D85F"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607FD0"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143D74"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December 2022</w:t>
            </w:r>
          </w:p>
        </w:tc>
      </w:tr>
      <w:tr w:rsidR="002B05C2" w:rsidRPr="002B05C2" w14:paraId="79F27111" w14:textId="77777777" w:rsidTr="002B05C2">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9F8C06"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CB8697" w14:textId="77777777" w:rsidR="002B05C2" w:rsidRPr="002B05C2" w:rsidRDefault="002B05C2" w:rsidP="002B05C2">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F7227A" w14:textId="77777777" w:rsidR="002B05C2" w:rsidRPr="002B05C2" w:rsidRDefault="002B05C2" w:rsidP="002B05C2">
            <w:pPr>
              <w:spacing w:after="0" w:line="240" w:lineRule="auto"/>
              <w:rPr>
                <w:rFonts w:ascii="Times New Roman" w:eastAsia="Times New Roman" w:hAnsi="Times New Roman" w:cs="Times New Roman"/>
                <w:kern w:val="0"/>
                <w:sz w:val="20"/>
                <w:szCs w:val="20"/>
                <w:lang w:eastAsia="en-AU"/>
                <w14:ligatures w14:val="none"/>
              </w:rPr>
            </w:pPr>
          </w:p>
        </w:tc>
      </w:tr>
    </w:tbl>
    <w:p w14:paraId="64E895B4"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9C41666"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029C1223" w14:textId="77777777"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Safety and Risk Management Procedure</w:t>
      </w:r>
    </w:p>
    <w:p w14:paraId="38707C57"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Management will facilitate the following:</w:t>
      </w:r>
    </w:p>
    <w:p w14:paraId="4E5EF537"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Ensure risk assessments are completed by delegation to key roles, including but not limited to car coordinators, residential managers, personal care workers, lifestyle team etc.</w:t>
      </w:r>
    </w:p>
    <w:p w14:paraId="2BF22722"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Encourage a “speak up” culture.</w:t>
      </w:r>
    </w:p>
    <w:p w14:paraId="03D40943"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Utilise risk assessments to maintain safety compliance requirements and manage risk.</w:t>
      </w:r>
    </w:p>
    <w:p w14:paraId="787414DF"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Ensure ongoing training is provided to all key roles to maintain compliance with risk management.</w:t>
      </w:r>
    </w:p>
    <w:p w14:paraId="18519E6F"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Provide all new staff with online training in risk management (at a minimum) and are aware of the responsibility for identifying and managing risk.</w:t>
      </w:r>
    </w:p>
    <w:p w14:paraId="0E37BFB3"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Provide staff with ongoing training on other areas of their work that could potentially cause risk – including but not limited to manual handling, lifting, use of equipment, nutrition, and mental health awareness.</w:t>
      </w:r>
    </w:p>
    <w:p w14:paraId="0BC1F26C"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 xml:space="preserve">Create a generic set of risk management assessments (manual handling, noise, working at heights, general equipment </w:t>
      </w:r>
      <w:proofErr w:type="gramStart"/>
      <w:r w:rsidRPr="002B05C2">
        <w:rPr>
          <w:rFonts w:ascii="Montserrat" w:eastAsia="Times New Roman" w:hAnsi="Montserrat" w:cs="Times New Roman"/>
          <w:color w:val="5F646A"/>
          <w:kern w:val="0"/>
          <w:sz w:val="23"/>
          <w:szCs w:val="23"/>
          <w:lang w:eastAsia="en-AU"/>
          <w14:ligatures w14:val="none"/>
        </w:rPr>
        <w:t>use</w:t>
      </w:r>
      <w:proofErr w:type="gramEnd"/>
      <w:r w:rsidRPr="002B05C2">
        <w:rPr>
          <w:rFonts w:ascii="Montserrat" w:eastAsia="Times New Roman" w:hAnsi="Montserrat" w:cs="Times New Roman"/>
          <w:color w:val="5F646A"/>
          <w:kern w:val="0"/>
          <w:sz w:val="23"/>
          <w:szCs w:val="23"/>
          <w:lang w:eastAsia="en-AU"/>
          <w14:ligatures w14:val="none"/>
        </w:rPr>
        <w:t>, working alone/</w:t>
      </w:r>
      <w:proofErr w:type="spellStart"/>
      <w:r w:rsidRPr="002B05C2">
        <w:rPr>
          <w:rFonts w:ascii="Montserrat" w:eastAsia="Times New Roman" w:hAnsi="Montserrat" w:cs="Times New Roman"/>
          <w:color w:val="5F646A"/>
          <w:kern w:val="0"/>
          <w:sz w:val="23"/>
          <w:szCs w:val="23"/>
          <w:lang w:eastAsia="en-AU"/>
          <w14:ligatures w14:val="none"/>
        </w:rPr>
        <w:t>after hours</w:t>
      </w:r>
      <w:proofErr w:type="spellEnd"/>
      <w:r w:rsidRPr="002B05C2">
        <w:rPr>
          <w:rFonts w:ascii="Montserrat" w:eastAsia="Times New Roman" w:hAnsi="Montserrat" w:cs="Times New Roman"/>
          <w:color w:val="5F646A"/>
          <w:kern w:val="0"/>
          <w:sz w:val="23"/>
          <w:szCs w:val="23"/>
          <w:lang w:eastAsia="en-AU"/>
          <w14:ligatures w14:val="none"/>
        </w:rPr>
        <w:t xml:space="preserve"> etc.) but advise all key roles that these should be treated with caution and used as a starting point only.</w:t>
      </w:r>
    </w:p>
    <w:p w14:paraId="2A7DDC26"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Ensure contractors are responsible for their own risk assessments and will not allow external work orders to commence without first sighting and approving the assessment.</w:t>
      </w:r>
    </w:p>
    <w:p w14:paraId="39735926"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lastRenderedPageBreak/>
        <w:t>Create a documented framework for managing risk, using an ‘identify, detect and respond’ risk cycle.</w:t>
      </w:r>
    </w:p>
    <w:p w14:paraId="192FDB40" w14:textId="77777777" w:rsidR="002B05C2" w:rsidRPr="002B05C2" w:rsidRDefault="002B05C2" w:rsidP="002B05C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Establish clear expectations for conduct and accountabilities for risk.</w:t>
      </w:r>
    </w:p>
    <w:p w14:paraId="5BFAF4EC"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Key roles will ensure the following:</w:t>
      </w:r>
    </w:p>
    <w:p w14:paraId="4592F74C"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Comply with Banksia Care’s Safety and Risk Management Policy.</w:t>
      </w:r>
    </w:p>
    <w:p w14:paraId="3225F83A"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Implement a documented framework for managing risk, using an ‘identify, detect and respond’ risk cycle.</w:t>
      </w:r>
    </w:p>
    <w:p w14:paraId="75B085D6"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Complete a risk assessment for any activity organised that falls under their area of control/management.</w:t>
      </w:r>
    </w:p>
    <w:p w14:paraId="100B4880"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Encourage a “speak up” culture.</w:t>
      </w:r>
    </w:p>
    <w:p w14:paraId="1BE8FD64"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Ensure that any risk identified is either removed or adequately reduced and fully controlled.</w:t>
      </w:r>
    </w:p>
    <w:p w14:paraId="544DA338"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Assist in ongoing training and awareness of all staff they supervise in relation to risk management expectations.</w:t>
      </w:r>
    </w:p>
    <w:p w14:paraId="417B7688"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Maintain the risk assessment register and ensure it is always up to date and accessible.</w:t>
      </w:r>
    </w:p>
    <w:p w14:paraId="387F1B6B"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Review the register annually to ensure ongoing compliance related to any former risk identified through a risk assessment.</w:t>
      </w:r>
    </w:p>
    <w:p w14:paraId="7F4BB3CE"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Identify the types of manual handling equipment available and determine what equipment best suits both residents and staff.</w:t>
      </w:r>
    </w:p>
    <w:p w14:paraId="163DE12C" w14:textId="77777777" w:rsidR="002B05C2" w:rsidRPr="002B05C2" w:rsidRDefault="002B05C2" w:rsidP="002B05C2">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Understand that the level of risk may change daily, and a prepared risk assessment will need to be reviewed the activity occurs. For example, changes in weather can change the level of risk.</w:t>
      </w:r>
    </w:p>
    <w:p w14:paraId="5EF407DC"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All staff will ensure the following:</w:t>
      </w:r>
    </w:p>
    <w:p w14:paraId="52DE6993"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Be responsible for their own safety and that of residents and visitors.</w:t>
      </w:r>
    </w:p>
    <w:p w14:paraId="39850066"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Cooperate with management and key roles in minimising any identified risk as a matter of critical importance.</w:t>
      </w:r>
    </w:p>
    <w:p w14:paraId="3E6D1448"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Adopt a ‘speak up’ culture.</w:t>
      </w:r>
    </w:p>
    <w:p w14:paraId="79AFF614"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Follow an ‘identify, detect and respond’ risk cycle.</w:t>
      </w:r>
    </w:p>
    <w:p w14:paraId="6E805AFE"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Follow all safety systems implemented when a risk is identified.</w:t>
      </w:r>
    </w:p>
    <w:p w14:paraId="4D2FBAAF"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Report any observed potential risk/defect to their manager as soon as identified.</w:t>
      </w:r>
    </w:p>
    <w:p w14:paraId="3B19A185" w14:textId="77777777" w:rsidR="002B05C2" w:rsidRP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lastRenderedPageBreak/>
        <w:t>Undertake manual handling training on how to use specific equipment for lifting, transferring and repositioning residents.</w:t>
      </w:r>
    </w:p>
    <w:p w14:paraId="61562BE7" w14:textId="77777777" w:rsidR="002B05C2" w:rsidRDefault="002B05C2" w:rsidP="002B05C2">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Develop the skills to use manual handling equipment efficiently.</w:t>
      </w:r>
    </w:p>
    <w:p w14:paraId="428EA2AA" w14:textId="77777777" w:rsidR="00247A0C" w:rsidRPr="002B05C2" w:rsidRDefault="00247A0C" w:rsidP="00247A0C">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p>
    <w:p w14:paraId="41DF2CC9" w14:textId="48F07EB8" w:rsidR="002B05C2" w:rsidRPr="002B05C2" w:rsidRDefault="002B05C2" w:rsidP="002B05C2">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B05C2">
        <w:rPr>
          <w:rFonts w:ascii="Montserrat" w:eastAsia="Times New Roman" w:hAnsi="Montserrat" w:cs="Times New Roman"/>
          <w:b/>
          <w:bCs/>
          <w:color w:val="DA591F"/>
          <w:kern w:val="0"/>
          <w:sz w:val="44"/>
          <w:szCs w:val="44"/>
          <w:bdr w:val="none" w:sz="0" w:space="0" w:color="auto" w:frame="1"/>
          <w:lang w:eastAsia="en-AU"/>
          <w14:ligatures w14:val="none"/>
        </w:rPr>
        <w:t>Determining a Risk Score and Risk Management Plan</w:t>
      </w:r>
    </w:p>
    <w:tbl>
      <w:tblPr>
        <w:tblpPr w:leftFromText="180" w:rightFromText="180" w:vertAnchor="text" w:tblpY="1"/>
        <w:tblOverlap w:val="never"/>
        <w:tblW w:w="13117"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563"/>
        <w:gridCol w:w="2492"/>
        <w:gridCol w:w="1784"/>
        <w:gridCol w:w="1784"/>
        <w:gridCol w:w="1784"/>
        <w:gridCol w:w="1784"/>
        <w:gridCol w:w="1926"/>
      </w:tblGrid>
      <w:tr w:rsidR="002B05C2" w:rsidRPr="002B05C2" w14:paraId="0CDA5902" w14:textId="77777777" w:rsidTr="00B231DF">
        <w:tc>
          <w:tcPr>
            <w:tcW w:w="596" w:type="pct"/>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29C5FC21"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Likelihood</w:t>
            </w:r>
          </w:p>
        </w:tc>
        <w:tc>
          <w:tcPr>
            <w:tcW w:w="4404" w:type="pct"/>
            <w:gridSpan w:val="6"/>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2B66410D" w14:textId="77777777" w:rsidR="002B05C2" w:rsidRPr="002B05C2" w:rsidRDefault="002B05C2" w:rsidP="00B231DF">
            <w:pPr>
              <w:spacing w:after="0" w:line="240" w:lineRule="auto"/>
              <w:jc w:val="center"/>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Severity</w:t>
            </w:r>
          </w:p>
        </w:tc>
      </w:tr>
      <w:tr w:rsidR="00B231DF" w:rsidRPr="002B05C2" w14:paraId="675646AA" w14:textId="77777777" w:rsidTr="00B231DF">
        <w:tc>
          <w:tcPr>
            <w:tcW w:w="0" w:type="auto"/>
            <w:vMerge/>
            <w:tcBorders>
              <w:top w:val="outset" w:sz="6" w:space="0" w:color="auto"/>
              <w:left w:val="outset" w:sz="6" w:space="0" w:color="auto"/>
              <w:bottom w:val="outset" w:sz="6" w:space="0" w:color="auto"/>
              <w:right w:val="outset" w:sz="6" w:space="0" w:color="auto"/>
            </w:tcBorders>
            <w:shd w:val="clear" w:color="auto" w:fill="7FFFD4"/>
            <w:vAlign w:val="center"/>
            <w:hideMark/>
          </w:tcPr>
          <w:p w14:paraId="2F954791"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CE7551A" w14:textId="439EDD4D"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68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1B88E9A"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Trivial</w:t>
            </w:r>
          </w:p>
        </w:tc>
        <w:tc>
          <w:tcPr>
            <w:tcW w:w="68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04380B6"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Minor</w:t>
            </w:r>
          </w:p>
        </w:tc>
        <w:tc>
          <w:tcPr>
            <w:tcW w:w="68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8ADACFE"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Moderate</w:t>
            </w:r>
          </w:p>
        </w:tc>
        <w:tc>
          <w:tcPr>
            <w:tcW w:w="68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9D2752C"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Major</w:t>
            </w:r>
          </w:p>
        </w:tc>
        <w:tc>
          <w:tcPr>
            <w:tcW w:w="734"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9E5FE36" w14:textId="77777777" w:rsidR="002B05C2" w:rsidRPr="002B05C2" w:rsidRDefault="002B05C2"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Significant</w:t>
            </w:r>
          </w:p>
        </w:tc>
      </w:tr>
      <w:tr w:rsidR="002F59B3" w:rsidRPr="002B05C2" w14:paraId="6E65960A" w14:textId="77777777" w:rsidTr="002F59B3">
        <w:trPr>
          <w:trHeight w:val="202"/>
        </w:trPr>
        <w:tc>
          <w:tcPr>
            <w:tcW w:w="0" w:type="auto"/>
            <w:vMerge/>
            <w:tcBorders>
              <w:top w:val="outset" w:sz="6" w:space="0" w:color="auto"/>
              <w:left w:val="outset" w:sz="6" w:space="0" w:color="auto"/>
              <w:bottom w:val="outset" w:sz="6" w:space="0" w:color="auto"/>
              <w:right w:val="outset" w:sz="6" w:space="0" w:color="auto"/>
            </w:tcBorders>
            <w:shd w:val="clear" w:color="auto" w:fill="7FFFD4"/>
            <w:vAlign w:val="center"/>
            <w:hideMark/>
          </w:tcPr>
          <w:p w14:paraId="73E1DAEB" w14:textId="7777777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A98708B" w14:textId="04400FDF"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Rare</w:t>
            </w:r>
          </w:p>
        </w:tc>
        <w:tc>
          <w:tcPr>
            <w:tcW w:w="680" w:type="pct"/>
            <w:tcBorders>
              <w:top w:val="outset" w:sz="6" w:space="0" w:color="auto"/>
              <w:left w:val="outset" w:sz="6" w:space="0" w:color="auto"/>
              <w:bottom w:val="outset" w:sz="6" w:space="0" w:color="auto"/>
              <w:right w:val="outset" w:sz="6" w:space="0" w:color="auto"/>
            </w:tcBorders>
            <w:shd w:val="clear" w:color="auto" w:fill="92D050"/>
            <w:vAlign w:val="center"/>
            <w:hideMark/>
          </w:tcPr>
          <w:p w14:paraId="0522520D" w14:textId="76C99185"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B231DF">
              <w:rPr>
                <w:rFonts w:ascii="Montserrat" w:eastAsia="Times New Roman" w:hAnsi="Montserrat" w:cs="Times New Roman"/>
                <w:color w:val="000000" w:themeColor="text1"/>
                <w:kern w:val="0"/>
                <w:sz w:val="23"/>
                <w:szCs w:val="23"/>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92D050"/>
            <w:vAlign w:val="center"/>
            <w:hideMark/>
          </w:tcPr>
          <w:p w14:paraId="10B27020" w14:textId="62754C8B"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92D050"/>
            <w:vAlign w:val="center"/>
            <w:hideMark/>
          </w:tcPr>
          <w:p w14:paraId="28844655" w14:textId="38C09A78"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758AE206" w14:textId="5E106634"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960B80">
              <w:rPr>
                <w:rFonts w:ascii="Montserrat" w:eastAsia="Times New Roman" w:hAnsi="Montserrat" w:cs="Times New Roman"/>
                <w:color w:val="000000"/>
                <w:kern w:val="0"/>
                <w:sz w:val="23"/>
                <w:szCs w:val="23"/>
                <w:bdr w:val="none" w:sz="0" w:space="0" w:color="auto" w:frame="1"/>
                <w:lang w:eastAsia="en-AU"/>
                <w14:ligatures w14:val="none"/>
              </w:rPr>
              <w:t>Medium</w:t>
            </w:r>
          </w:p>
        </w:tc>
        <w:tc>
          <w:tcPr>
            <w:tcW w:w="734" w:type="pct"/>
            <w:tcBorders>
              <w:top w:val="outset" w:sz="6" w:space="0" w:color="auto"/>
              <w:left w:val="outset" w:sz="6" w:space="0" w:color="auto"/>
              <w:bottom w:val="outset" w:sz="6" w:space="0" w:color="auto"/>
              <w:right w:val="outset" w:sz="6" w:space="0" w:color="auto"/>
            </w:tcBorders>
            <w:shd w:val="clear" w:color="auto" w:fill="FFFF00"/>
            <w:hideMark/>
          </w:tcPr>
          <w:p w14:paraId="6C0DF464" w14:textId="339E8023"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297565">
              <w:rPr>
                <w:rFonts w:ascii="Montserrat" w:eastAsia="Times New Roman" w:hAnsi="Montserrat" w:cs="Times New Roman"/>
                <w:color w:val="000000"/>
                <w:kern w:val="0"/>
                <w:sz w:val="23"/>
                <w:szCs w:val="23"/>
                <w:bdr w:val="none" w:sz="0" w:space="0" w:color="auto" w:frame="1"/>
                <w:lang w:eastAsia="en-AU"/>
                <w14:ligatures w14:val="none"/>
              </w:rPr>
              <w:t>Medium</w:t>
            </w:r>
          </w:p>
        </w:tc>
      </w:tr>
      <w:tr w:rsidR="00B231DF" w:rsidRPr="002B05C2" w14:paraId="481F373F" w14:textId="77777777" w:rsidTr="002F59B3">
        <w:tc>
          <w:tcPr>
            <w:tcW w:w="0" w:type="auto"/>
            <w:vMerge/>
            <w:tcBorders>
              <w:top w:val="outset" w:sz="6" w:space="0" w:color="auto"/>
              <w:left w:val="outset" w:sz="6" w:space="0" w:color="auto"/>
              <w:bottom w:val="outset" w:sz="6" w:space="0" w:color="auto"/>
              <w:right w:val="outset" w:sz="6" w:space="0" w:color="auto"/>
            </w:tcBorders>
            <w:shd w:val="clear" w:color="auto" w:fill="7FFFD4"/>
            <w:vAlign w:val="center"/>
            <w:hideMark/>
          </w:tcPr>
          <w:p w14:paraId="4A39E542" w14:textId="7777777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A1CF6E9" w14:textId="675F0B6B"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Unlikely</w:t>
            </w:r>
          </w:p>
        </w:tc>
        <w:tc>
          <w:tcPr>
            <w:tcW w:w="680" w:type="pct"/>
            <w:tcBorders>
              <w:top w:val="outset" w:sz="6" w:space="0" w:color="auto"/>
              <w:left w:val="outset" w:sz="6" w:space="0" w:color="auto"/>
              <w:bottom w:val="outset" w:sz="6" w:space="0" w:color="auto"/>
              <w:right w:val="outset" w:sz="6" w:space="0" w:color="auto"/>
            </w:tcBorders>
            <w:shd w:val="clear" w:color="auto" w:fill="92D050"/>
            <w:hideMark/>
          </w:tcPr>
          <w:p w14:paraId="0B80082B" w14:textId="2B234D71"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F0519E">
              <w:rPr>
                <w:rFonts w:ascii="Montserrat" w:eastAsia="Times New Roman" w:hAnsi="Montserrat" w:cs="Times New Roman"/>
                <w:color w:val="000000" w:themeColor="text1"/>
                <w:kern w:val="0"/>
                <w:sz w:val="23"/>
                <w:szCs w:val="23"/>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92D050"/>
            <w:hideMark/>
          </w:tcPr>
          <w:p w14:paraId="49C60395" w14:textId="3E4A6727"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F0519E">
              <w:rPr>
                <w:rFonts w:ascii="Montserrat" w:eastAsia="Times New Roman" w:hAnsi="Montserrat" w:cs="Times New Roman"/>
                <w:color w:val="000000" w:themeColor="text1"/>
                <w:kern w:val="0"/>
                <w:sz w:val="23"/>
                <w:szCs w:val="23"/>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4C843A2E" w14:textId="057C0335"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834CB1">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07B8C264" w14:textId="133CB574"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960B80">
              <w:rPr>
                <w:rFonts w:ascii="Montserrat" w:eastAsia="Times New Roman" w:hAnsi="Montserrat" w:cs="Times New Roman"/>
                <w:color w:val="000000"/>
                <w:kern w:val="0"/>
                <w:sz w:val="23"/>
                <w:szCs w:val="23"/>
                <w:bdr w:val="none" w:sz="0" w:space="0" w:color="auto" w:frame="1"/>
                <w:lang w:eastAsia="en-AU"/>
                <w14:ligatures w14:val="none"/>
              </w:rPr>
              <w:t>Medium</w:t>
            </w:r>
          </w:p>
        </w:tc>
        <w:tc>
          <w:tcPr>
            <w:tcW w:w="734" w:type="pct"/>
            <w:tcBorders>
              <w:top w:val="outset" w:sz="6" w:space="0" w:color="auto"/>
              <w:left w:val="outset" w:sz="6" w:space="0" w:color="auto"/>
              <w:bottom w:val="outset" w:sz="6" w:space="0" w:color="auto"/>
              <w:right w:val="outset" w:sz="6" w:space="0" w:color="auto"/>
            </w:tcBorders>
            <w:shd w:val="clear" w:color="auto" w:fill="FFC000"/>
            <w:hideMark/>
          </w:tcPr>
          <w:p w14:paraId="56063B56" w14:textId="430CDB30"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High</w:t>
            </w:r>
          </w:p>
        </w:tc>
      </w:tr>
      <w:tr w:rsidR="00B231DF" w:rsidRPr="002B05C2" w14:paraId="2D40B963" w14:textId="77777777" w:rsidTr="002F59B3">
        <w:tc>
          <w:tcPr>
            <w:tcW w:w="0" w:type="auto"/>
            <w:vMerge/>
            <w:tcBorders>
              <w:top w:val="outset" w:sz="6" w:space="0" w:color="auto"/>
              <w:left w:val="outset" w:sz="6" w:space="0" w:color="auto"/>
              <w:bottom w:val="outset" w:sz="6" w:space="0" w:color="auto"/>
              <w:right w:val="outset" w:sz="6" w:space="0" w:color="auto"/>
            </w:tcBorders>
            <w:shd w:val="clear" w:color="auto" w:fill="7FFFD4"/>
            <w:vAlign w:val="center"/>
            <w:hideMark/>
          </w:tcPr>
          <w:p w14:paraId="70974007" w14:textId="7777777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5804C11" w14:textId="1E27778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Possible</w:t>
            </w:r>
          </w:p>
        </w:tc>
        <w:tc>
          <w:tcPr>
            <w:tcW w:w="680" w:type="pct"/>
            <w:tcBorders>
              <w:top w:val="outset" w:sz="6" w:space="0" w:color="auto"/>
              <w:left w:val="outset" w:sz="6" w:space="0" w:color="auto"/>
              <w:bottom w:val="outset" w:sz="6" w:space="0" w:color="auto"/>
              <w:right w:val="outset" w:sz="6" w:space="0" w:color="auto"/>
            </w:tcBorders>
            <w:shd w:val="clear" w:color="auto" w:fill="92D050"/>
            <w:vAlign w:val="center"/>
            <w:hideMark/>
          </w:tcPr>
          <w:p w14:paraId="6D46D8A3" w14:textId="66328D7A"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B231DF">
              <w:rPr>
                <w:rFonts w:ascii="Montserrat" w:eastAsia="Times New Roman" w:hAnsi="Montserrat" w:cs="Times New Roman"/>
                <w:color w:val="000000" w:themeColor="text1"/>
                <w:kern w:val="0"/>
                <w:sz w:val="23"/>
                <w:szCs w:val="23"/>
                <w:lang w:eastAsia="en-AU"/>
                <w14:ligatures w14:val="none"/>
              </w:rPr>
              <w:t>Low</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51F1D528" w14:textId="7A67E0E6"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8D757D">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458B47C2" w14:textId="19066418"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834CB1">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C000"/>
            <w:hideMark/>
          </w:tcPr>
          <w:p w14:paraId="0B4CAA5B" w14:textId="36D96FC4"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7C5828">
              <w:rPr>
                <w:rFonts w:ascii="Montserrat" w:eastAsia="Times New Roman" w:hAnsi="Montserrat" w:cs="Times New Roman"/>
                <w:color w:val="000000"/>
                <w:kern w:val="0"/>
                <w:sz w:val="23"/>
                <w:szCs w:val="23"/>
                <w:bdr w:val="none" w:sz="0" w:space="0" w:color="auto" w:frame="1"/>
                <w:lang w:eastAsia="en-AU"/>
                <w14:ligatures w14:val="none"/>
              </w:rPr>
              <w:t>High</w:t>
            </w:r>
          </w:p>
        </w:tc>
        <w:tc>
          <w:tcPr>
            <w:tcW w:w="734" w:type="pct"/>
            <w:tcBorders>
              <w:top w:val="outset" w:sz="6" w:space="0" w:color="auto"/>
              <w:left w:val="outset" w:sz="6" w:space="0" w:color="auto"/>
              <w:bottom w:val="outset" w:sz="6" w:space="0" w:color="auto"/>
              <w:right w:val="outset" w:sz="6" w:space="0" w:color="auto"/>
            </w:tcBorders>
            <w:shd w:val="clear" w:color="auto" w:fill="FFC000"/>
            <w:hideMark/>
          </w:tcPr>
          <w:p w14:paraId="17302679" w14:textId="280A6236"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7C5828">
              <w:rPr>
                <w:rFonts w:ascii="Montserrat" w:eastAsia="Times New Roman" w:hAnsi="Montserrat" w:cs="Times New Roman"/>
                <w:color w:val="000000"/>
                <w:kern w:val="0"/>
                <w:sz w:val="23"/>
                <w:szCs w:val="23"/>
                <w:bdr w:val="none" w:sz="0" w:space="0" w:color="auto" w:frame="1"/>
                <w:lang w:eastAsia="en-AU"/>
                <w14:ligatures w14:val="none"/>
              </w:rPr>
              <w:t>High</w:t>
            </w:r>
          </w:p>
        </w:tc>
      </w:tr>
      <w:tr w:rsidR="00B231DF" w:rsidRPr="002B05C2" w14:paraId="024E112D" w14:textId="77777777" w:rsidTr="00B231DF">
        <w:tc>
          <w:tcPr>
            <w:tcW w:w="0" w:type="auto"/>
            <w:vMerge/>
            <w:tcBorders>
              <w:top w:val="outset" w:sz="6" w:space="0" w:color="auto"/>
              <w:left w:val="outset" w:sz="6" w:space="0" w:color="auto"/>
              <w:bottom w:val="outset" w:sz="6" w:space="0" w:color="auto"/>
              <w:right w:val="outset" w:sz="6" w:space="0" w:color="auto"/>
            </w:tcBorders>
            <w:shd w:val="clear" w:color="auto" w:fill="7FFFD4"/>
            <w:vAlign w:val="center"/>
            <w:hideMark/>
          </w:tcPr>
          <w:p w14:paraId="2714E51B" w14:textId="7777777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7A603FD" w14:textId="1E54AF4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Likely</w:t>
            </w:r>
          </w:p>
        </w:tc>
        <w:tc>
          <w:tcPr>
            <w:tcW w:w="680" w:type="pct"/>
            <w:tcBorders>
              <w:top w:val="outset" w:sz="6" w:space="0" w:color="auto"/>
              <w:left w:val="outset" w:sz="6" w:space="0" w:color="auto"/>
              <w:bottom w:val="outset" w:sz="6" w:space="0" w:color="auto"/>
              <w:right w:val="outset" w:sz="6" w:space="0" w:color="auto"/>
            </w:tcBorders>
            <w:shd w:val="clear" w:color="auto" w:fill="FFFF00"/>
            <w:vAlign w:val="center"/>
            <w:hideMark/>
          </w:tcPr>
          <w:p w14:paraId="3751E46F" w14:textId="40CC6229"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FF00"/>
            <w:hideMark/>
          </w:tcPr>
          <w:p w14:paraId="5BB55A5A" w14:textId="715A7228"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8D757D">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C000"/>
            <w:hideMark/>
          </w:tcPr>
          <w:p w14:paraId="57581B57" w14:textId="7EA71BF2"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6F6D9D">
              <w:rPr>
                <w:rFonts w:ascii="Montserrat" w:eastAsia="Times New Roman" w:hAnsi="Montserrat" w:cs="Times New Roman"/>
                <w:color w:val="000000"/>
                <w:kern w:val="0"/>
                <w:sz w:val="23"/>
                <w:szCs w:val="23"/>
                <w:bdr w:val="none" w:sz="0" w:space="0" w:color="auto" w:frame="1"/>
                <w:lang w:eastAsia="en-AU"/>
                <w14:ligatures w14:val="none"/>
              </w:rPr>
              <w:t>High</w:t>
            </w:r>
          </w:p>
        </w:tc>
        <w:tc>
          <w:tcPr>
            <w:tcW w:w="680" w:type="pct"/>
            <w:tcBorders>
              <w:top w:val="outset" w:sz="6" w:space="0" w:color="auto"/>
              <w:left w:val="outset" w:sz="6" w:space="0" w:color="auto"/>
              <w:bottom w:val="outset" w:sz="6" w:space="0" w:color="auto"/>
              <w:right w:val="outset" w:sz="6" w:space="0" w:color="auto"/>
            </w:tcBorders>
            <w:shd w:val="clear" w:color="auto" w:fill="FFC000"/>
            <w:hideMark/>
          </w:tcPr>
          <w:p w14:paraId="6A1DC0FA" w14:textId="403B02C4"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6F6D9D">
              <w:rPr>
                <w:rFonts w:ascii="Montserrat" w:eastAsia="Times New Roman" w:hAnsi="Montserrat" w:cs="Times New Roman"/>
                <w:color w:val="000000"/>
                <w:kern w:val="0"/>
                <w:sz w:val="23"/>
                <w:szCs w:val="23"/>
                <w:bdr w:val="none" w:sz="0" w:space="0" w:color="auto" w:frame="1"/>
                <w:lang w:eastAsia="en-AU"/>
                <w14:ligatures w14:val="none"/>
              </w:rPr>
              <w:t>High</w:t>
            </w:r>
          </w:p>
        </w:tc>
        <w:tc>
          <w:tcPr>
            <w:tcW w:w="734" w:type="pct"/>
            <w:tcBorders>
              <w:top w:val="outset" w:sz="6" w:space="0" w:color="auto"/>
              <w:left w:val="outset" w:sz="6" w:space="0" w:color="auto"/>
              <w:bottom w:val="outset" w:sz="6" w:space="0" w:color="auto"/>
              <w:right w:val="outset" w:sz="6" w:space="0" w:color="auto"/>
            </w:tcBorders>
            <w:shd w:val="clear" w:color="auto" w:fill="FF0000"/>
            <w:vAlign w:val="center"/>
            <w:hideMark/>
          </w:tcPr>
          <w:p w14:paraId="12813800" w14:textId="24ACEEB0"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Extreme</w:t>
            </w:r>
          </w:p>
        </w:tc>
      </w:tr>
      <w:tr w:rsidR="00B231DF" w:rsidRPr="002B05C2" w14:paraId="13CF384B" w14:textId="77777777" w:rsidTr="00B231DF">
        <w:tc>
          <w:tcPr>
            <w:tcW w:w="0" w:type="auto"/>
            <w:vMerge/>
            <w:tcBorders>
              <w:top w:val="outset" w:sz="6" w:space="0" w:color="auto"/>
              <w:left w:val="outset" w:sz="6" w:space="0" w:color="auto"/>
              <w:bottom w:val="single" w:sz="4" w:space="0" w:color="auto"/>
              <w:right w:val="outset" w:sz="6" w:space="0" w:color="auto"/>
            </w:tcBorders>
            <w:shd w:val="clear" w:color="auto" w:fill="7FFFD4"/>
            <w:vAlign w:val="center"/>
            <w:hideMark/>
          </w:tcPr>
          <w:p w14:paraId="07F58F2B" w14:textId="77777777"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p>
        </w:tc>
        <w:tc>
          <w:tcPr>
            <w:tcW w:w="9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282115A" w14:textId="3C41D1B2" w:rsidR="00B231DF" w:rsidRPr="002B05C2" w:rsidRDefault="00B231DF" w:rsidP="00B231DF">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000000"/>
                <w:kern w:val="0"/>
                <w:sz w:val="23"/>
                <w:szCs w:val="23"/>
                <w:bdr w:val="none" w:sz="0" w:space="0" w:color="auto" w:frame="1"/>
                <w:lang w:eastAsia="en-AU"/>
                <w14:ligatures w14:val="none"/>
              </w:rPr>
              <w:t>Certain</w:t>
            </w:r>
          </w:p>
        </w:tc>
        <w:tc>
          <w:tcPr>
            <w:tcW w:w="680" w:type="pct"/>
            <w:tcBorders>
              <w:top w:val="outset" w:sz="6" w:space="0" w:color="auto"/>
              <w:left w:val="outset" w:sz="6" w:space="0" w:color="auto"/>
              <w:bottom w:val="outset" w:sz="6" w:space="0" w:color="auto"/>
              <w:right w:val="outset" w:sz="6" w:space="0" w:color="auto"/>
            </w:tcBorders>
            <w:shd w:val="clear" w:color="auto" w:fill="FFFF00"/>
            <w:vAlign w:val="center"/>
            <w:hideMark/>
          </w:tcPr>
          <w:p w14:paraId="001BCFB5" w14:textId="50AB41C8"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Pr>
                <w:rFonts w:ascii="Montserrat" w:eastAsia="Times New Roman" w:hAnsi="Montserrat" w:cs="Times New Roman"/>
                <w:color w:val="000000"/>
                <w:kern w:val="0"/>
                <w:sz w:val="23"/>
                <w:szCs w:val="23"/>
                <w:bdr w:val="none" w:sz="0" w:space="0" w:color="auto" w:frame="1"/>
                <w:lang w:eastAsia="en-AU"/>
                <w14:ligatures w14:val="none"/>
              </w:rPr>
              <w:t>Medium</w:t>
            </w:r>
          </w:p>
        </w:tc>
        <w:tc>
          <w:tcPr>
            <w:tcW w:w="680" w:type="pct"/>
            <w:tcBorders>
              <w:top w:val="outset" w:sz="6" w:space="0" w:color="auto"/>
              <w:left w:val="outset" w:sz="6" w:space="0" w:color="auto"/>
              <w:bottom w:val="outset" w:sz="6" w:space="0" w:color="auto"/>
              <w:right w:val="outset" w:sz="6" w:space="0" w:color="auto"/>
            </w:tcBorders>
            <w:shd w:val="clear" w:color="auto" w:fill="FFC000"/>
            <w:hideMark/>
          </w:tcPr>
          <w:p w14:paraId="45FC04F5" w14:textId="60831ADF"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2E5BDA">
              <w:rPr>
                <w:rFonts w:ascii="Montserrat" w:eastAsia="Times New Roman" w:hAnsi="Montserrat" w:cs="Times New Roman"/>
                <w:color w:val="000000"/>
                <w:kern w:val="0"/>
                <w:sz w:val="23"/>
                <w:szCs w:val="23"/>
                <w:bdr w:val="none" w:sz="0" w:space="0" w:color="auto" w:frame="1"/>
                <w:lang w:eastAsia="en-AU"/>
                <w14:ligatures w14:val="none"/>
              </w:rPr>
              <w:t>High</w:t>
            </w:r>
          </w:p>
        </w:tc>
        <w:tc>
          <w:tcPr>
            <w:tcW w:w="680" w:type="pct"/>
            <w:tcBorders>
              <w:top w:val="outset" w:sz="6" w:space="0" w:color="auto"/>
              <w:left w:val="outset" w:sz="6" w:space="0" w:color="auto"/>
              <w:bottom w:val="outset" w:sz="6" w:space="0" w:color="auto"/>
              <w:right w:val="outset" w:sz="6" w:space="0" w:color="auto"/>
            </w:tcBorders>
            <w:shd w:val="clear" w:color="auto" w:fill="FFC000"/>
            <w:hideMark/>
          </w:tcPr>
          <w:p w14:paraId="7057104C" w14:textId="537CF51A"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2E5BDA">
              <w:rPr>
                <w:rFonts w:ascii="Montserrat" w:eastAsia="Times New Roman" w:hAnsi="Montserrat" w:cs="Times New Roman"/>
                <w:color w:val="000000"/>
                <w:kern w:val="0"/>
                <w:sz w:val="23"/>
                <w:szCs w:val="23"/>
                <w:bdr w:val="none" w:sz="0" w:space="0" w:color="auto" w:frame="1"/>
                <w:lang w:eastAsia="en-AU"/>
                <w14:ligatures w14:val="none"/>
              </w:rPr>
              <w:t>High</w:t>
            </w:r>
          </w:p>
        </w:tc>
        <w:tc>
          <w:tcPr>
            <w:tcW w:w="680" w:type="pct"/>
            <w:tcBorders>
              <w:top w:val="outset" w:sz="6" w:space="0" w:color="auto"/>
              <w:left w:val="outset" w:sz="6" w:space="0" w:color="auto"/>
              <w:bottom w:val="outset" w:sz="6" w:space="0" w:color="auto"/>
              <w:right w:val="outset" w:sz="6" w:space="0" w:color="auto"/>
            </w:tcBorders>
            <w:shd w:val="clear" w:color="auto" w:fill="FF0000"/>
            <w:hideMark/>
          </w:tcPr>
          <w:p w14:paraId="571939BB" w14:textId="4D3297F1"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C819CF">
              <w:rPr>
                <w:rFonts w:ascii="Montserrat" w:eastAsia="Times New Roman" w:hAnsi="Montserrat" w:cs="Times New Roman"/>
                <w:color w:val="000000"/>
                <w:kern w:val="0"/>
                <w:sz w:val="23"/>
                <w:szCs w:val="23"/>
                <w:bdr w:val="none" w:sz="0" w:space="0" w:color="auto" w:frame="1"/>
                <w:lang w:eastAsia="en-AU"/>
                <w14:ligatures w14:val="none"/>
              </w:rPr>
              <w:t>Extreme</w:t>
            </w:r>
          </w:p>
        </w:tc>
        <w:tc>
          <w:tcPr>
            <w:tcW w:w="734" w:type="pct"/>
            <w:tcBorders>
              <w:top w:val="outset" w:sz="6" w:space="0" w:color="auto"/>
              <w:left w:val="outset" w:sz="6" w:space="0" w:color="auto"/>
              <w:bottom w:val="outset" w:sz="6" w:space="0" w:color="auto"/>
              <w:right w:val="outset" w:sz="6" w:space="0" w:color="auto"/>
            </w:tcBorders>
            <w:shd w:val="clear" w:color="auto" w:fill="FF0000"/>
            <w:hideMark/>
          </w:tcPr>
          <w:p w14:paraId="7DC89A2A" w14:textId="616C84DC" w:rsidR="00B231DF" w:rsidRPr="002B05C2" w:rsidRDefault="00B231DF" w:rsidP="00C0763F">
            <w:pPr>
              <w:spacing w:after="0" w:line="240" w:lineRule="auto"/>
              <w:jc w:val="center"/>
              <w:rPr>
                <w:rFonts w:ascii="Montserrat" w:eastAsia="Times New Roman" w:hAnsi="Montserrat" w:cs="Times New Roman"/>
                <w:color w:val="5F646A"/>
                <w:kern w:val="0"/>
                <w:sz w:val="23"/>
                <w:szCs w:val="23"/>
                <w:lang w:eastAsia="en-AU"/>
                <w14:ligatures w14:val="none"/>
              </w:rPr>
            </w:pPr>
            <w:r w:rsidRPr="00C819CF">
              <w:rPr>
                <w:rFonts w:ascii="Montserrat" w:eastAsia="Times New Roman" w:hAnsi="Montserrat" w:cs="Times New Roman"/>
                <w:color w:val="000000"/>
                <w:kern w:val="0"/>
                <w:sz w:val="23"/>
                <w:szCs w:val="23"/>
                <w:bdr w:val="none" w:sz="0" w:space="0" w:color="auto" w:frame="1"/>
                <w:lang w:eastAsia="en-AU"/>
                <w14:ligatures w14:val="none"/>
              </w:rPr>
              <w:t>Extreme</w:t>
            </w:r>
          </w:p>
        </w:tc>
      </w:tr>
    </w:tbl>
    <w:p w14:paraId="174F28DE" w14:textId="77777777" w:rsidR="00247A0C" w:rsidRDefault="00B231DF"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br w:type="textWrapping" w:clear="all"/>
      </w:r>
    </w:p>
    <w:p w14:paraId="6473CF96" w14:textId="77777777"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89CF1B9" w14:textId="77777777"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874C6B6" w14:textId="77777777"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34D29E1" w14:textId="77777777"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2EB1DD6" w14:textId="0310BE83" w:rsidR="002B05C2" w:rsidRPr="002B05C2"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lastRenderedPageBreak/>
        <w:t xml:space="preserve"> A</w:t>
      </w:r>
      <w:r w:rsidR="002B05C2" w:rsidRPr="002B05C2">
        <w:rPr>
          <w:rFonts w:ascii="Montserrat" w:eastAsia="Times New Roman" w:hAnsi="Montserrat" w:cs="Times New Roman"/>
          <w:b/>
          <w:bCs/>
          <w:color w:val="FCB53B"/>
          <w:kern w:val="0"/>
          <w:sz w:val="36"/>
          <w:szCs w:val="36"/>
          <w:bdr w:val="none" w:sz="0" w:space="0" w:color="auto" w:frame="1"/>
          <w:lang w:eastAsia="en-AU"/>
          <w14:ligatures w14:val="none"/>
        </w:rPr>
        <w:t>ssess the Likelihood</w:t>
      </w:r>
      <w:r>
        <w:rPr>
          <w:rFonts w:ascii="Montserrat" w:eastAsia="Times New Roman" w:hAnsi="Montserrat" w:cs="Times New Roman"/>
          <w:b/>
          <w:bCs/>
          <w:color w:val="FCB53B"/>
          <w:kern w:val="0"/>
          <w:sz w:val="36"/>
          <w:szCs w:val="36"/>
          <w:bdr w:val="none" w:sz="0" w:space="0" w:color="auto" w:frame="1"/>
          <w:lang w:eastAsia="en-AU"/>
          <w14:ligatures w14:val="none"/>
        </w:rPr>
        <w:br/>
      </w:r>
    </w:p>
    <w:tbl>
      <w:tblPr>
        <w:tblW w:w="14175"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077"/>
        <w:gridCol w:w="1134"/>
        <w:gridCol w:w="10964"/>
      </w:tblGrid>
      <w:tr w:rsidR="002B05C2" w:rsidRPr="002B05C2" w14:paraId="2BE04547"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0E47E79"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Likelihood</w:t>
            </w:r>
          </w:p>
        </w:tc>
        <w:tc>
          <w:tcPr>
            <w:tcW w:w="1134"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68D4B8BA"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Score</w:t>
            </w:r>
          </w:p>
        </w:tc>
        <w:tc>
          <w:tcPr>
            <w:tcW w:w="10964"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43BFB06E"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2B05C2" w:rsidRPr="002B05C2" w14:paraId="583CE28D"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5CE7C0C"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Rare</w:t>
            </w:r>
          </w:p>
        </w:tc>
        <w:tc>
          <w:tcPr>
            <w:tcW w:w="113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D79CE98"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1</w:t>
            </w:r>
          </w:p>
        </w:tc>
        <w:tc>
          <w:tcPr>
            <w:tcW w:w="1096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F78F2F"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 likelihood of this happening is probably never or extremely rare</w:t>
            </w:r>
          </w:p>
        </w:tc>
      </w:tr>
      <w:tr w:rsidR="002B05C2" w:rsidRPr="002B05C2" w14:paraId="37A38156"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2CC2B64"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Unlikely</w:t>
            </w:r>
          </w:p>
        </w:tc>
        <w:tc>
          <w:tcPr>
            <w:tcW w:w="113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DA971F2"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2</w:t>
            </w:r>
          </w:p>
        </w:tc>
        <w:tc>
          <w:tcPr>
            <w:tcW w:w="1096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8529DB"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Although you shouldn’t expect it to happen, it is always possible it may.</w:t>
            </w:r>
          </w:p>
        </w:tc>
      </w:tr>
      <w:tr w:rsidR="002B05C2" w:rsidRPr="002B05C2" w14:paraId="776D22E0"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6A5A4B9"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Possible</w:t>
            </w:r>
          </w:p>
        </w:tc>
        <w:tc>
          <w:tcPr>
            <w:tcW w:w="113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BAD16EF"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3</w:t>
            </w:r>
          </w:p>
        </w:tc>
        <w:tc>
          <w:tcPr>
            <w:tcW w:w="1096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55C4D6"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There is the possibility this could reoccur or happen occasionally.</w:t>
            </w:r>
          </w:p>
        </w:tc>
      </w:tr>
      <w:tr w:rsidR="002B05C2" w:rsidRPr="002B05C2" w14:paraId="3D71E25C"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0DFE31D"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Likely</w:t>
            </w:r>
          </w:p>
        </w:tc>
        <w:tc>
          <w:tcPr>
            <w:tcW w:w="113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8188D34"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4</w:t>
            </w:r>
          </w:p>
        </w:tc>
        <w:tc>
          <w:tcPr>
            <w:tcW w:w="1096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EDCA2D"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It will more than likely happen or reoccur but not a persisting issue.</w:t>
            </w:r>
          </w:p>
        </w:tc>
      </w:tr>
      <w:tr w:rsidR="002B05C2" w:rsidRPr="002B05C2" w14:paraId="3054A1D1" w14:textId="77777777" w:rsidTr="00247A0C">
        <w:trPr>
          <w:trHeight w:val="765"/>
        </w:trPr>
        <w:tc>
          <w:tcPr>
            <w:tcW w:w="20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505BE3C"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Certain</w:t>
            </w:r>
          </w:p>
        </w:tc>
        <w:tc>
          <w:tcPr>
            <w:tcW w:w="113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85FEECB"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5</w:t>
            </w:r>
          </w:p>
        </w:tc>
        <w:tc>
          <w:tcPr>
            <w:tcW w:w="1096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58CA45"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It will happen or reoccur, even frequently.</w:t>
            </w:r>
          </w:p>
        </w:tc>
      </w:tr>
    </w:tbl>
    <w:p w14:paraId="545BCF22" w14:textId="6B161414"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90D219A" w14:textId="69E69276" w:rsidR="00247A0C" w:rsidRDefault="00247A0C">
      <w:pPr>
        <w:rPr>
          <w:rFonts w:ascii="Montserrat" w:eastAsia="Times New Roman" w:hAnsi="Montserrat" w:cs="Times New Roman"/>
          <w:b/>
          <w:bCs/>
          <w:color w:val="FCB53B"/>
          <w:kern w:val="0"/>
          <w:sz w:val="36"/>
          <w:szCs w:val="36"/>
          <w:bdr w:val="none" w:sz="0" w:space="0" w:color="auto" w:frame="1"/>
          <w:lang w:eastAsia="en-AU"/>
          <w14:ligatures w14:val="none"/>
        </w:rPr>
      </w:pPr>
    </w:p>
    <w:p w14:paraId="39D0A65E" w14:textId="17CEDECC" w:rsidR="002B05C2" w:rsidRPr="002B05C2" w:rsidRDefault="002B05C2" w:rsidP="002B05C2">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B05C2">
        <w:rPr>
          <w:rFonts w:ascii="Montserrat" w:eastAsia="Times New Roman" w:hAnsi="Montserrat" w:cs="Times New Roman"/>
          <w:b/>
          <w:bCs/>
          <w:color w:val="FCB53B"/>
          <w:kern w:val="0"/>
          <w:sz w:val="36"/>
          <w:szCs w:val="36"/>
          <w:bdr w:val="none" w:sz="0" w:space="0" w:color="auto" w:frame="1"/>
          <w:lang w:eastAsia="en-AU"/>
          <w14:ligatures w14:val="none"/>
        </w:rPr>
        <w:lastRenderedPageBreak/>
        <w:t>Assess the Severity</w:t>
      </w:r>
      <w:r w:rsidR="00247A0C">
        <w:rPr>
          <w:rFonts w:ascii="Montserrat" w:eastAsia="Times New Roman" w:hAnsi="Montserrat" w:cs="Times New Roman"/>
          <w:b/>
          <w:bCs/>
          <w:color w:val="FCB53B"/>
          <w:kern w:val="0"/>
          <w:sz w:val="36"/>
          <w:szCs w:val="36"/>
          <w:bdr w:val="none" w:sz="0" w:space="0" w:color="auto" w:frame="1"/>
          <w:lang w:eastAsia="en-AU"/>
          <w14:ligatures w14:val="none"/>
        </w:rPr>
        <w:br/>
      </w:r>
    </w:p>
    <w:tbl>
      <w:tblPr>
        <w:tblW w:w="14175"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267"/>
        <w:gridCol w:w="978"/>
        <w:gridCol w:w="10930"/>
      </w:tblGrid>
      <w:tr w:rsidR="002B05C2" w:rsidRPr="002B05C2" w14:paraId="4DFA06E8"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148B3D04"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Severity</w:t>
            </w:r>
          </w:p>
        </w:tc>
        <w:tc>
          <w:tcPr>
            <w:tcW w:w="977"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3CB08644"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Score</w:t>
            </w:r>
          </w:p>
        </w:tc>
        <w:tc>
          <w:tcPr>
            <w:tcW w:w="13418"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B1BA0F0"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2B05C2" w:rsidRPr="002B05C2" w14:paraId="35318E29"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BE7C575"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Trivial</w:t>
            </w:r>
          </w:p>
        </w:tc>
        <w:tc>
          <w:tcPr>
            <w:tcW w:w="9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58EBE71"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1</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2CE3F1"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No injury – Minor property damage</w:t>
            </w:r>
          </w:p>
        </w:tc>
      </w:tr>
      <w:tr w:rsidR="002B05C2" w:rsidRPr="002B05C2" w14:paraId="49FE5ECB"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9278D2A"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Minor</w:t>
            </w:r>
          </w:p>
        </w:tc>
        <w:tc>
          <w:tcPr>
            <w:tcW w:w="9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D5F6F09"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2</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335987"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Slightly harmful – minor cuts and abrasions. Some property damage but minimal and minor.</w:t>
            </w:r>
          </w:p>
        </w:tc>
      </w:tr>
      <w:tr w:rsidR="002B05C2" w:rsidRPr="002B05C2" w14:paraId="6DE62B97"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E8767EA"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Moderate</w:t>
            </w:r>
          </w:p>
        </w:tc>
        <w:tc>
          <w:tcPr>
            <w:tcW w:w="9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BAA5180"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3</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057F02"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Harmful – Lacerations, sprains, minor fractures, asthma, minor burns. Property damage that requires contract work. Interruption to business for less than a day.</w:t>
            </w:r>
          </w:p>
        </w:tc>
      </w:tr>
      <w:tr w:rsidR="002B05C2" w:rsidRPr="002B05C2" w14:paraId="57682124"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2234515"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Major</w:t>
            </w:r>
          </w:p>
        </w:tc>
        <w:tc>
          <w:tcPr>
            <w:tcW w:w="9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E1DF665"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4</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824A46"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Extremely harmful – Permanent disability, major fractures, deafness, anaphylaxis reaction, disease. Major impact to the business of 2-5 days.</w:t>
            </w:r>
          </w:p>
        </w:tc>
      </w:tr>
      <w:tr w:rsidR="002B05C2" w:rsidRPr="002B05C2" w14:paraId="5846EE36" w14:textId="77777777" w:rsidTr="00247A0C">
        <w:tc>
          <w:tcPr>
            <w:tcW w:w="246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0CC4761"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Significant</w:t>
            </w:r>
          </w:p>
        </w:tc>
        <w:tc>
          <w:tcPr>
            <w:tcW w:w="97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7DB4442" w14:textId="77777777" w:rsidR="002B05C2" w:rsidRPr="00247A0C" w:rsidRDefault="002B05C2" w:rsidP="002B05C2">
            <w:pPr>
              <w:spacing w:after="0" w:line="240" w:lineRule="auto"/>
              <w:rPr>
                <w:rFonts w:ascii="Montserrat" w:eastAsia="Times New Roman" w:hAnsi="Montserrat" w:cs="Times New Roman"/>
                <w:color w:val="000000" w:themeColor="text1"/>
                <w:kern w:val="0"/>
                <w:sz w:val="23"/>
                <w:szCs w:val="23"/>
                <w:lang w:eastAsia="en-AU"/>
                <w14:ligatures w14:val="none"/>
              </w:rPr>
            </w:pPr>
            <w:r w:rsidRPr="00247A0C">
              <w:rPr>
                <w:rFonts w:ascii="Montserrat" w:eastAsia="Times New Roman" w:hAnsi="Montserrat" w:cs="Times New Roman"/>
                <w:color w:val="000000" w:themeColor="text1"/>
                <w:kern w:val="0"/>
                <w:sz w:val="23"/>
                <w:szCs w:val="23"/>
                <w:lang w:eastAsia="en-AU"/>
                <w14:ligatures w14:val="none"/>
              </w:rPr>
              <w:t>5</w:t>
            </w:r>
          </w:p>
        </w:tc>
        <w:tc>
          <w:tcPr>
            <w:tcW w:w="13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D660A8"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Fatal – Could result in a fatality or loss of buildings. Could also include or involve interruption to business for 5 or more days.</w:t>
            </w:r>
          </w:p>
        </w:tc>
      </w:tr>
    </w:tbl>
    <w:p w14:paraId="41D520B4" w14:textId="77777777" w:rsidR="00247A0C" w:rsidRDefault="00247A0C" w:rsidP="002B05C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8D2E741" w14:textId="77777777" w:rsidR="00247A0C" w:rsidRDefault="00247A0C">
      <w:pPr>
        <w:rPr>
          <w:rFonts w:ascii="Montserrat" w:eastAsia="Times New Roman" w:hAnsi="Montserrat" w:cs="Times New Roman"/>
          <w:b/>
          <w:bCs/>
          <w:color w:val="FCB53B"/>
          <w:kern w:val="0"/>
          <w:sz w:val="36"/>
          <w:szCs w:val="36"/>
          <w:bdr w:val="none" w:sz="0" w:space="0" w:color="auto" w:frame="1"/>
          <w:lang w:eastAsia="en-AU"/>
          <w14:ligatures w14:val="none"/>
        </w:rPr>
      </w:pPr>
      <w:r>
        <w:rPr>
          <w:rFonts w:ascii="Montserrat" w:eastAsia="Times New Roman" w:hAnsi="Montserrat" w:cs="Times New Roman"/>
          <w:b/>
          <w:bCs/>
          <w:color w:val="FCB53B"/>
          <w:kern w:val="0"/>
          <w:sz w:val="36"/>
          <w:szCs w:val="36"/>
          <w:bdr w:val="none" w:sz="0" w:space="0" w:color="auto" w:frame="1"/>
          <w:lang w:eastAsia="en-AU"/>
          <w14:ligatures w14:val="none"/>
        </w:rPr>
        <w:br w:type="page"/>
      </w:r>
    </w:p>
    <w:p w14:paraId="342D7E03" w14:textId="285465D2" w:rsidR="002B05C2" w:rsidRPr="002B05C2" w:rsidRDefault="002B05C2" w:rsidP="002B05C2">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B05C2">
        <w:rPr>
          <w:rFonts w:ascii="Montserrat" w:eastAsia="Times New Roman" w:hAnsi="Montserrat" w:cs="Times New Roman"/>
          <w:b/>
          <w:bCs/>
          <w:color w:val="FCB53B"/>
          <w:kern w:val="0"/>
          <w:sz w:val="36"/>
          <w:szCs w:val="36"/>
          <w:bdr w:val="none" w:sz="0" w:space="0" w:color="auto" w:frame="1"/>
          <w:lang w:eastAsia="en-AU"/>
          <w14:ligatures w14:val="none"/>
        </w:rPr>
        <w:lastRenderedPageBreak/>
        <w:t>Likelihood x Severity = Risk Score</w:t>
      </w:r>
    </w:p>
    <w:p w14:paraId="5047FE3F" w14:textId="3F1A2ABE"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Use Risk Score and Colour to determine Risk Management Plan.</w:t>
      </w:r>
    </w:p>
    <w:tbl>
      <w:tblPr>
        <w:tblW w:w="14175"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243"/>
        <w:gridCol w:w="10932"/>
      </w:tblGrid>
      <w:tr w:rsidR="002B05C2" w:rsidRPr="002B05C2" w14:paraId="6A43125C" w14:textId="77777777" w:rsidTr="002F59B3">
        <w:tc>
          <w:tcPr>
            <w:tcW w:w="3828"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74F1A9D3"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Colour</w:t>
            </w:r>
          </w:p>
        </w:tc>
        <w:tc>
          <w:tcPr>
            <w:tcW w:w="1339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760CF5EA"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b/>
                <w:bCs/>
                <w:color w:val="000000"/>
                <w:kern w:val="0"/>
                <w:sz w:val="23"/>
                <w:szCs w:val="23"/>
                <w:bdr w:val="none" w:sz="0" w:space="0" w:color="auto" w:frame="1"/>
                <w:lang w:eastAsia="en-AU"/>
                <w14:ligatures w14:val="none"/>
              </w:rPr>
              <w:t>Meaning</w:t>
            </w:r>
          </w:p>
        </w:tc>
      </w:tr>
      <w:tr w:rsidR="002B05C2" w:rsidRPr="002B05C2" w14:paraId="4F17D0F3" w14:textId="77777777" w:rsidTr="002F59B3">
        <w:tc>
          <w:tcPr>
            <w:tcW w:w="3828" w:type="dxa"/>
            <w:tcBorders>
              <w:top w:val="outset" w:sz="6" w:space="0" w:color="auto"/>
              <w:left w:val="outset" w:sz="6" w:space="0" w:color="auto"/>
              <w:bottom w:val="outset" w:sz="6" w:space="0" w:color="auto"/>
              <w:right w:val="outset" w:sz="6" w:space="0" w:color="auto"/>
            </w:tcBorders>
            <w:shd w:val="clear" w:color="auto" w:fill="92D050"/>
            <w:vAlign w:val="center"/>
            <w:hideMark/>
          </w:tcPr>
          <w:p w14:paraId="2A24331B"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C96AED"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Acceptable with ongoing review and monitoring for Continuous Improvement</w:t>
            </w:r>
          </w:p>
        </w:tc>
      </w:tr>
      <w:tr w:rsidR="002B05C2" w:rsidRPr="002B05C2" w14:paraId="47C972BC" w14:textId="77777777" w:rsidTr="002F59B3">
        <w:tc>
          <w:tcPr>
            <w:tcW w:w="3828"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5FB7E5B9"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F4D62E"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Acceptable but will require continued monitoring against a developed action plan</w:t>
            </w:r>
          </w:p>
        </w:tc>
      </w:tr>
      <w:tr w:rsidR="002B05C2" w:rsidRPr="002B05C2" w14:paraId="3A94C7CB" w14:textId="77777777" w:rsidTr="002B05C2">
        <w:tc>
          <w:tcPr>
            <w:tcW w:w="3828" w:type="dxa"/>
            <w:tcBorders>
              <w:top w:val="outset" w:sz="6" w:space="0" w:color="auto"/>
              <w:left w:val="outset" w:sz="6" w:space="0" w:color="auto"/>
              <w:bottom w:val="outset" w:sz="6" w:space="0" w:color="auto"/>
              <w:right w:val="outset" w:sz="6" w:space="0" w:color="auto"/>
            </w:tcBorders>
            <w:shd w:val="clear" w:color="auto" w:fill="FFA500"/>
            <w:vAlign w:val="center"/>
            <w:hideMark/>
          </w:tcPr>
          <w:p w14:paraId="16436FD7"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2640E8"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Requires management approval to proceed but can be managed with mitigation of risk.</w:t>
            </w:r>
          </w:p>
        </w:tc>
      </w:tr>
      <w:tr w:rsidR="002B05C2" w:rsidRPr="002B05C2" w14:paraId="79556DDA" w14:textId="77777777" w:rsidTr="002F59B3">
        <w:tc>
          <w:tcPr>
            <w:tcW w:w="3828"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78C18378" w14:textId="77777777"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p>
        </w:tc>
        <w:tc>
          <w:tcPr>
            <w:tcW w:w="133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DD92CC" w14:textId="79F6EDDA" w:rsidR="002B05C2" w:rsidRPr="002B05C2" w:rsidRDefault="002B05C2" w:rsidP="002B05C2">
            <w:pPr>
              <w:spacing w:after="0" w:line="240" w:lineRule="auto"/>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 xml:space="preserve">Cannot </w:t>
            </w:r>
            <w:r w:rsidR="002F59B3" w:rsidRPr="002B05C2">
              <w:rPr>
                <w:rFonts w:ascii="Montserrat" w:eastAsia="Times New Roman" w:hAnsi="Montserrat" w:cs="Times New Roman"/>
                <w:color w:val="5F646A"/>
                <w:kern w:val="0"/>
                <w:sz w:val="23"/>
                <w:szCs w:val="23"/>
                <w:lang w:eastAsia="en-AU"/>
                <w14:ligatures w14:val="none"/>
              </w:rPr>
              <w:t>proceed and</w:t>
            </w:r>
            <w:r w:rsidRPr="002B05C2">
              <w:rPr>
                <w:rFonts w:ascii="Montserrat" w:eastAsia="Times New Roman" w:hAnsi="Montserrat" w:cs="Times New Roman"/>
                <w:color w:val="5F646A"/>
                <w:kern w:val="0"/>
                <w:sz w:val="23"/>
                <w:szCs w:val="23"/>
                <w:lang w:eastAsia="en-AU"/>
                <w14:ligatures w14:val="none"/>
              </w:rPr>
              <w:t xml:space="preserve"> is unacceptable as it currently exists. Will need to be fully reviewed and actioned immediately.</w:t>
            </w:r>
          </w:p>
        </w:tc>
      </w:tr>
    </w:tbl>
    <w:p w14:paraId="5D644AEA" w14:textId="77777777" w:rsidR="002B05C2" w:rsidRPr="002B05C2" w:rsidRDefault="002B05C2" w:rsidP="002B05C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B05C2">
        <w:rPr>
          <w:rFonts w:ascii="Montserrat" w:eastAsia="Times New Roman" w:hAnsi="Montserrat" w:cs="Times New Roman"/>
          <w:color w:val="5F646A"/>
          <w:kern w:val="0"/>
          <w:sz w:val="23"/>
          <w:szCs w:val="23"/>
          <w:lang w:eastAsia="en-AU"/>
          <w14:ligatures w14:val="none"/>
        </w:rPr>
        <w:t> </w:t>
      </w:r>
    </w:p>
    <w:p w14:paraId="155F12F3" w14:textId="77777777" w:rsidR="00D36CFE" w:rsidRDefault="00D36CFE"/>
    <w:sectPr w:rsidR="00D36CFE" w:rsidSect="002B05C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088"/>
    <w:multiLevelType w:val="multilevel"/>
    <w:tmpl w:val="E7DE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660CC"/>
    <w:multiLevelType w:val="multilevel"/>
    <w:tmpl w:val="A03C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791A30"/>
    <w:multiLevelType w:val="multilevel"/>
    <w:tmpl w:val="C740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44570E"/>
    <w:multiLevelType w:val="multilevel"/>
    <w:tmpl w:val="D398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190FDE"/>
    <w:multiLevelType w:val="multilevel"/>
    <w:tmpl w:val="F94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C46C1D"/>
    <w:multiLevelType w:val="multilevel"/>
    <w:tmpl w:val="DC16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F11339"/>
    <w:multiLevelType w:val="multilevel"/>
    <w:tmpl w:val="4E3E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0807516">
    <w:abstractNumId w:val="4"/>
  </w:num>
  <w:num w:numId="2" w16cid:durableId="1748574713">
    <w:abstractNumId w:val="3"/>
  </w:num>
  <w:num w:numId="3" w16cid:durableId="1237085303">
    <w:abstractNumId w:val="6"/>
  </w:num>
  <w:num w:numId="4" w16cid:durableId="1989244637">
    <w:abstractNumId w:val="5"/>
  </w:num>
  <w:num w:numId="5" w16cid:durableId="410589997">
    <w:abstractNumId w:val="0"/>
  </w:num>
  <w:num w:numId="6" w16cid:durableId="1842696153">
    <w:abstractNumId w:val="2"/>
  </w:num>
  <w:num w:numId="7" w16cid:durableId="270431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5C2"/>
    <w:rsid w:val="00172A97"/>
    <w:rsid w:val="00247A0C"/>
    <w:rsid w:val="002B05C2"/>
    <w:rsid w:val="002F59B3"/>
    <w:rsid w:val="005D3D81"/>
    <w:rsid w:val="00687601"/>
    <w:rsid w:val="00B231DF"/>
    <w:rsid w:val="00C0763F"/>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DE113"/>
  <w15:chartTrackingRefBased/>
  <w15:docId w15:val="{BE04A02E-FB9A-429C-9A02-656BF2CF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5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05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5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5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5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5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5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5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5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5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5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5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5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5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5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5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5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5C2"/>
    <w:rPr>
      <w:rFonts w:eastAsiaTheme="majorEastAsia" w:cstheme="majorBidi"/>
      <w:color w:val="272727" w:themeColor="text1" w:themeTint="D8"/>
    </w:rPr>
  </w:style>
  <w:style w:type="paragraph" w:styleId="Title">
    <w:name w:val="Title"/>
    <w:basedOn w:val="Normal"/>
    <w:next w:val="Normal"/>
    <w:link w:val="TitleChar"/>
    <w:uiPriority w:val="10"/>
    <w:qFormat/>
    <w:rsid w:val="002B05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5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5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5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5C2"/>
    <w:pPr>
      <w:spacing w:before="160"/>
      <w:jc w:val="center"/>
    </w:pPr>
    <w:rPr>
      <w:i/>
      <w:iCs/>
      <w:color w:val="404040" w:themeColor="text1" w:themeTint="BF"/>
    </w:rPr>
  </w:style>
  <w:style w:type="character" w:customStyle="1" w:styleId="QuoteChar">
    <w:name w:val="Quote Char"/>
    <w:basedOn w:val="DefaultParagraphFont"/>
    <w:link w:val="Quote"/>
    <w:uiPriority w:val="29"/>
    <w:rsid w:val="002B05C2"/>
    <w:rPr>
      <w:i/>
      <w:iCs/>
      <w:color w:val="404040" w:themeColor="text1" w:themeTint="BF"/>
    </w:rPr>
  </w:style>
  <w:style w:type="paragraph" w:styleId="ListParagraph">
    <w:name w:val="List Paragraph"/>
    <w:basedOn w:val="Normal"/>
    <w:uiPriority w:val="34"/>
    <w:qFormat/>
    <w:rsid w:val="002B05C2"/>
    <w:pPr>
      <w:ind w:left="720"/>
      <w:contextualSpacing/>
    </w:pPr>
  </w:style>
  <w:style w:type="character" w:styleId="IntenseEmphasis">
    <w:name w:val="Intense Emphasis"/>
    <w:basedOn w:val="DefaultParagraphFont"/>
    <w:uiPriority w:val="21"/>
    <w:qFormat/>
    <w:rsid w:val="002B05C2"/>
    <w:rPr>
      <w:i/>
      <w:iCs/>
      <w:color w:val="0F4761" w:themeColor="accent1" w:themeShade="BF"/>
    </w:rPr>
  </w:style>
  <w:style w:type="paragraph" w:styleId="IntenseQuote">
    <w:name w:val="Intense Quote"/>
    <w:basedOn w:val="Normal"/>
    <w:next w:val="Normal"/>
    <w:link w:val="IntenseQuoteChar"/>
    <w:uiPriority w:val="30"/>
    <w:qFormat/>
    <w:rsid w:val="002B0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5C2"/>
    <w:rPr>
      <w:i/>
      <w:iCs/>
      <w:color w:val="0F4761" w:themeColor="accent1" w:themeShade="BF"/>
    </w:rPr>
  </w:style>
  <w:style w:type="character" w:styleId="IntenseReference">
    <w:name w:val="Intense Reference"/>
    <w:basedOn w:val="DefaultParagraphFont"/>
    <w:uiPriority w:val="32"/>
    <w:qFormat/>
    <w:rsid w:val="002B05C2"/>
    <w:rPr>
      <w:b/>
      <w:bCs/>
      <w:smallCaps/>
      <w:color w:val="0F4761" w:themeColor="accent1" w:themeShade="BF"/>
      <w:spacing w:val="5"/>
    </w:rPr>
  </w:style>
  <w:style w:type="character" w:styleId="CommentReference">
    <w:name w:val="annotation reference"/>
    <w:basedOn w:val="DefaultParagraphFont"/>
    <w:uiPriority w:val="99"/>
    <w:semiHidden/>
    <w:unhideWhenUsed/>
    <w:rsid w:val="00687601"/>
    <w:rPr>
      <w:sz w:val="16"/>
      <w:szCs w:val="16"/>
    </w:rPr>
  </w:style>
  <w:style w:type="paragraph" w:styleId="CommentText">
    <w:name w:val="annotation text"/>
    <w:basedOn w:val="Normal"/>
    <w:link w:val="CommentTextChar"/>
    <w:uiPriority w:val="99"/>
    <w:unhideWhenUsed/>
    <w:rsid w:val="00687601"/>
    <w:pPr>
      <w:spacing w:line="240" w:lineRule="auto"/>
    </w:pPr>
    <w:rPr>
      <w:sz w:val="20"/>
      <w:szCs w:val="20"/>
    </w:rPr>
  </w:style>
  <w:style w:type="character" w:customStyle="1" w:styleId="CommentTextChar">
    <w:name w:val="Comment Text Char"/>
    <w:basedOn w:val="DefaultParagraphFont"/>
    <w:link w:val="CommentText"/>
    <w:uiPriority w:val="99"/>
    <w:rsid w:val="00687601"/>
    <w:rPr>
      <w:sz w:val="20"/>
      <w:szCs w:val="20"/>
    </w:rPr>
  </w:style>
  <w:style w:type="paragraph" w:styleId="CommentSubject">
    <w:name w:val="annotation subject"/>
    <w:basedOn w:val="CommentText"/>
    <w:next w:val="CommentText"/>
    <w:link w:val="CommentSubjectChar"/>
    <w:uiPriority w:val="99"/>
    <w:semiHidden/>
    <w:unhideWhenUsed/>
    <w:rsid w:val="00687601"/>
    <w:rPr>
      <w:b/>
      <w:bCs/>
    </w:rPr>
  </w:style>
  <w:style w:type="character" w:customStyle="1" w:styleId="CommentSubjectChar">
    <w:name w:val="Comment Subject Char"/>
    <w:basedOn w:val="CommentTextChar"/>
    <w:link w:val="CommentSubject"/>
    <w:uiPriority w:val="99"/>
    <w:semiHidden/>
    <w:rsid w:val="00687601"/>
    <w:rPr>
      <w:b/>
      <w:bCs/>
      <w:sz w:val="20"/>
      <w:szCs w:val="20"/>
    </w:rPr>
  </w:style>
  <w:style w:type="character" w:styleId="Strong">
    <w:name w:val="Strong"/>
    <w:basedOn w:val="DefaultParagraphFont"/>
    <w:uiPriority w:val="22"/>
    <w:qFormat/>
    <w:rsid w:val="00B231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7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A48D90-2DD6-4211-AAFE-6FF0398DEE80}">
  <ds:schemaRefs>
    <ds:schemaRef ds:uri="http://schemas.microsoft.com/office/2006/metadata/properties"/>
    <ds:schemaRef ds:uri="http://schemas.microsoft.com/office/infopath/2007/PartnerControls"/>
    <ds:schemaRef ds:uri="024b938f-655d-4538-98da-3c7a5d573470"/>
    <ds:schemaRef ds:uri="0bc87ecc-3934-4908-9bc7-5c38317b80f3"/>
  </ds:schemaRefs>
</ds:datastoreItem>
</file>

<file path=customXml/itemProps2.xml><?xml version="1.0" encoding="utf-8"?>
<ds:datastoreItem xmlns:ds="http://schemas.openxmlformats.org/officeDocument/2006/customXml" ds:itemID="{08EA3E0F-8D77-44B2-90CE-5061D43CB44C}">
  <ds:schemaRefs>
    <ds:schemaRef ds:uri="http://schemas.microsoft.com/sharepoint/v3/contenttype/forms"/>
  </ds:schemaRefs>
</ds:datastoreItem>
</file>

<file path=customXml/itemProps3.xml><?xml version="1.0" encoding="utf-8"?>
<ds:datastoreItem xmlns:ds="http://schemas.openxmlformats.org/officeDocument/2006/customXml" ds:itemID="{C53C81D5-881E-4FCE-9232-3D201577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b938f-655d-4538-98da-3c7a5d573470"/>
    <ds:schemaRef ds:uri="0bc87ecc-3934-4908-9bc7-5c38317b80f3"/>
    <ds:schemaRef ds:uri="d7857fef-08a8-48da-8fd7-79628a831ad5"/>
    <ds:schemaRef ds:uri="3ced25dc-a434-405c-aded-7d5272ff6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Jessica Moiler</cp:lastModifiedBy>
  <cp:revision>4</cp:revision>
  <dcterms:created xsi:type="dcterms:W3CDTF">2025-08-28T04:50:00Z</dcterms:created>
  <dcterms:modified xsi:type="dcterms:W3CDTF">2025-08-28T05:03:00Z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